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FEA" w:rsidRPr="00EF544B" w:rsidRDefault="00E22FEA" w:rsidP="00E22FEA">
      <w:r w:rsidRPr="00EF544B">
        <w:rPr>
          <w:noProof/>
          <w:lang w:eastAsia="ru-RU"/>
        </w:rPr>
        <w:drawing>
          <wp:inline distT="0" distB="0" distL="0" distR="0">
            <wp:extent cx="1095375" cy="1047750"/>
            <wp:effectExtent l="0" t="0" r="9525" b="0"/>
            <wp:docPr id="2" name="Рисунок 2" descr="http://masiscity.am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siscity.am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544B">
        <w:br/>
        <w:t>ՀԱՅԱՍՏԱՆԻ ՀԱՆՐԱՊԵՏՈՒԹՅԱՆ ԱՐԱՐԱՏԻ ՄԱՐԶԻ ՄԱՍԻՍ ՀԱՄԱՅՆՔ </w:t>
      </w:r>
      <w:r w:rsidRPr="00EF544B">
        <w:br/>
      </w:r>
      <w:r w:rsidRPr="00EF544B">
        <w:rPr>
          <w:noProof/>
          <w:lang w:eastAsia="ru-RU"/>
        </w:rPr>
        <w:drawing>
          <wp:inline distT="0" distB="0" distL="0" distR="0">
            <wp:extent cx="6429375" cy="47625"/>
            <wp:effectExtent l="0" t="0" r="9525" b="9525"/>
            <wp:docPr id="1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FEA" w:rsidRPr="00EF544B" w:rsidRDefault="00E22FEA" w:rsidP="00E22FEA">
      <w:r w:rsidRPr="00EF544B">
        <w:t>ԱՐՁԱՆԱԳՐՈՒԹՅՈՒՆ N 9</w:t>
      </w:r>
      <w:r w:rsidRPr="00EF544B">
        <w:br/>
        <w:t>22 ՆՈՅԵՄԲԵՐԻ 2018թվական</w:t>
      </w:r>
      <w:r w:rsidRPr="00EF544B">
        <w:br/>
      </w:r>
      <w:r w:rsidRPr="00EF544B">
        <w:br/>
        <w:t>ԱՎԱԳԱՆՈՒ ՀԵՐԹԱԿԱՆ ՆԻՍՏԻ</w:t>
      </w:r>
    </w:p>
    <w:p w:rsidR="00E22FEA" w:rsidRPr="00EF544B" w:rsidRDefault="00E22FEA" w:rsidP="00E22FEA">
      <w:r w:rsidRPr="00EF544B">
        <w:t>Համայնքի ավագանու նիստին ներկա էին ավագանու բոլոր անդամներ:</w:t>
      </w:r>
    </w:p>
    <w:p w:rsidR="00E22FEA" w:rsidRPr="00EF544B" w:rsidRDefault="00E22FEA" w:rsidP="00E22FEA">
      <w:r w:rsidRPr="00EF544B">
        <w:t>Համայնքի ղեկավարի հրավերով ավագանու նիստին մասնակցում էին`</w:t>
      </w:r>
      <w:r w:rsidRPr="00EF544B">
        <w:br/>
        <w:t>Լյովիկ Գրիգորյան, Լուսինե Աստաբացյան, Նվարդ Սահակյան</w:t>
      </w:r>
    </w:p>
    <w:p w:rsidR="00E22FEA" w:rsidRPr="00EF544B" w:rsidRDefault="00E22FEA" w:rsidP="00E22FEA">
      <w:r w:rsidRPr="00EF544B">
        <w:t>Նիստը վարում էր  համայնքի ղեկավարի տեղակալ` Նորայր Հակոբյանը</w:t>
      </w:r>
    </w:p>
    <w:p w:rsidR="00E22FEA" w:rsidRPr="00EF544B" w:rsidRDefault="00E22FEA" w:rsidP="00E22FEA">
      <w:r w:rsidRPr="00EF544B">
        <w:t>Նիստը արձանագրում էր աշխատակազմի քարտուղար` Վարդան Գաբրիելյանը</w:t>
      </w:r>
    </w:p>
    <w:p w:rsidR="00E22FEA" w:rsidRPr="00EF544B" w:rsidRDefault="00E22FEA" w:rsidP="00E22FEA">
      <w:r w:rsidRPr="00EF544B">
        <w:t>Լսեցին</w:t>
      </w:r>
      <w:r w:rsidRPr="00EF544B">
        <w:br/>
        <w:t xml:space="preserve">ՄԱՍԻՍ ՔԱՂԱՔԱՅԻՆ ՀԱՄԱՅՆՔԻ ԱՎԱԳԱՆՈՒ 2018 ԹՎԱԿԱՆԻ ՆՈՅԵՄԲԵՐԻ 22-Ի ՕՐԱԿԱՐԳԸ ՀԱՍՏԱՏԵԼՈՒ ՄԱՍԻՆ </w:t>
      </w:r>
    </w:p>
    <w:p w:rsidR="00E22FEA" w:rsidRPr="00EF544B" w:rsidRDefault="00E22FEA" w:rsidP="00E22FEA">
      <w:r w:rsidRPr="00EF544B">
        <w:t xml:space="preserve">/Զեկ. </w:t>
      </w:r>
      <w:hyperlink r:id="rId6" w:tgtFrame="employee" w:history="1">
        <w:r w:rsidRPr="00EF544B">
          <w:t>ՎԱՐԴԱՆ ԳԱԲՐԻԵԼՅԱՆ</w:t>
        </w:r>
      </w:hyperlink>
      <w:r w:rsidRPr="00EF544B">
        <w:t>/</w:t>
      </w:r>
    </w:p>
    <w:p w:rsidR="00E22FEA" w:rsidRPr="00EF544B" w:rsidRDefault="00E22FEA" w:rsidP="00E22FEA">
      <w:r w:rsidRPr="00EF544B">
        <w:t>Ղեկավարվելով ,,Տեղական ինքնակառավարման մասին,, Հայաստանի Հանրապետության օրենքի 14-րդ հոդվածի պահանջներով. Մասիս քաղաքային համայնքի ավագանին որոշում է</w:t>
      </w:r>
    </w:p>
    <w:p w:rsidR="00E22FEA" w:rsidRPr="00EF544B" w:rsidRDefault="00E22FEA" w:rsidP="00E22FEA">
      <w:r w:rsidRPr="00EF544B">
        <w:t> </w:t>
      </w:r>
    </w:p>
    <w:p w:rsidR="00E22FEA" w:rsidRPr="00EF544B" w:rsidRDefault="00E22FEA" w:rsidP="00E22FEA">
      <w:r w:rsidRPr="00EF544B">
        <w:t> Հաստատել համայնքի ղեկավարի ներկայացրած Մասիս քաղաքային համայնքի ավագանու 2018 թվականի նոյեմբերի 22-ի նիստի օրակարգը`</w:t>
      </w:r>
    </w:p>
    <w:p w:rsidR="00E22FEA" w:rsidRPr="00EF544B" w:rsidRDefault="00E22FEA" w:rsidP="00E22FEA">
      <w:r w:rsidRPr="00EF544B">
        <w:t xml:space="preserve">1.ՄԱՍԻՍ ՔԱՂԱՔԱՅԻՆ ՀԱՄԱՅՆՔԻ ԱՎԱԳԱՆՈՒ 2018 ԹՎԱԿԱՆԻ ՆՈՅԵՄԲԵՐԻ  22-Ի ՕՐԱԿԱՐԳԸ ՀԱՍՏԱՏԵԼՈՒ ՄԱՍԻՆ </w:t>
      </w:r>
    </w:p>
    <w:p w:rsidR="00E22FEA" w:rsidRPr="00EF544B" w:rsidRDefault="00E22FEA" w:rsidP="00E22FEA">
      <w:r w:rsidRPr="00EF544B">
        <w:t>2.</w:t>
      </w:r>
      <w:hyperlink r:id="rId7" w:history="1">
        <w:r w:rsidRPr="00EF544B">
          <w:t>ՄԱՍԻՍ ՔԱՂԱՔԱՅԻՆ ՀԱՄԱՅՆՔԻ ԱՎԱԳԱՆՈՒ 2013 ԹՎԱԿԱՆԻ ՄԱՐՏԻ 26-Ի N10-Ա, N12-Ա, 2014 ԹՎԱԿԱՆԻ ՀՈԿՏԵՄԲԵՐԻ 03-Ի N71-Ա ԵՎ 2018 ԹՎԱԿԱՆԻ ՍԵՊՏԵՄԲԵՐԻ 27-Ի N54-Ա ՈՐՈՇՈՒՄՆԵՐԸ ՈՒԺԸ ԿՈՐՑՐԱԾ ՃԱՆԱՉԵԼՈՒ ՄԱՍԻՆ</w:t>
        </w:r>
      </w:hyperlink>
    </w:p>
    <w:p w:rsidR="00E22FEA" w:rsidRPr="00EF544B" w:rsidRDefault="00E22FEA" w:rsidP="00E22FEA">
      <w:r w:rsidRPr="00EF544B">
        <w:t>3.</w:t>
      </w:r>
      <w:hyperlink r:id="rId8" w:history="1">
        <w:r w:rsidRPr="00EF544B">
          <w:t>ՄԱՍԻՍ ՔԱՂԱՔԱՅԻՆ ՀԱՄԱՅՆՔԻ 2019 ԹՎԱԿԱՆԻ ՏԵՂԱԿԱՆ ՏՈՒՐՔԵՐԻ ԵՎ ՎՃԱՐՆԵՐԻ ՏԵՍԱԿՆԵՐՆ ՈՒ ԴՐՈՒՅՔԱՉԱՓԵՐԸ ՍԱՀՄԱՆԵԼՈԻ ՄԱՍԻՆ</w:t>
        </w:r>
      </w:hyperlink>
    </w:p>
    <w:p w:rsidR="00E22FEA" w:rsidRPr="00EF544B" w:rsidRDefault="00E22FEA" w:rsidP="00E22FEA">
      <w:r w:rsidRPr="00EF544B">
        <w:t> 4.</w:t>
      </w:r>
      <w:hyperlink r:id="rId9" w:history="1">
        <w:r w:rsidRPr="00EF544B">
          <w:t>ՄԱՍԻՍ ՔԱՂԱՔԱՅԻՆ ՀԱՄԱՅՆՔԻ ԱՎԱԳԱՆՈՒ 2018 ԹՎԱԿԱՆԻ ՆՈՅԵՄԲԵՐԻ 1-Ի N70-Ա, N71-Ա, N73-Ա, N74-Ա, N75-Ա ՈՐՈՇՈՒՄՆԵՐԻՆ ԿԻՑ 1-ԻՆ ՀԱՎԵԼՎԱԾՆԵՐՈՒՄ ՓՈՓՈԽՈՒԹՅՈՒՆՆԵՐ ԿԱՏԱՐԵԼՈՒ ՄԱՍԻՆ</w:t>
        </w:r>
      </w:hyperlink>
    </w:p>
    <w:p w:rsidR="00E22FEA" w:rsidRPr="00EF544B" w:rsidRDefault="00E22FEA" w:rsidP="00E22FEA">
      <w:r w:rsidRPr="00EF544B">
        <w:t> 5.</w:t>
      </w:r>
      <w:hyperlink r:id="rId10" w:history="1">
        <w:r w:rsidRPr="00EF544B">
          <w:t>,,ՀՀ ԱՐԱՐԱՏԻ ՄԱՐԶԻ ՄԱՍԻՍԻ ՔԱՂԱՔԱՅԻՆ ՀԱՄԱՅՆՔԻ ԹԻՎ 3 ՄԱՆԿԱՊԱՐՏԵԶ,, ՀԱՄԱՅՆՔԱՅԻՆ ՈՉ ԱՌԵՎՏՐԱՅԻՆ ԿԱԶՄԱԿԵՐՊՈՒԹՅԱՆ ԿԱՌՈՒՑՎԱԾՔԸ, ԱՇԽԱՏՈՂՆԵՐԻ ՔԱՆԱԿԸ, ՀԱՍՏԻՔԱՑՈՒՑԱԿԸ, ՊԱՇՏՈՆԱՅԻՆ ԴՐՈՒՅՔԱՉԱՓԵՐԸ ՀԱՍՏԱՏԵԼՈՒ ԵՎ ՄԱՍԻՍ ՔԱՂԱՔԱՅԻՆ ՀԱՄԱՅՆՔԻ ԱՎԱԳԱՆՈՒ 2018 ԹՎԱԿԱՆԻ ՆՈՅԵՄԲԵՐԻ 1-Ի N72-Ա ՈՐՈՇՈՒՄԸ ՈՒԺԸ ԿՈՐՑՐԱԾ ՃԱՆԱՉԵԼՈՒ ՄԱՍԻՆ</w:t>
        </w:r>
      </w:hyperlink>
    </w:p>
    <w:p w:rsidR="00E22FEA" w:rsidRPr="00EF544B" w:rsidRDefault="00E22FEA" w:rsidP="00E22FEA">
      <w:r w:rsidRPr="00EF544B">
        <w:t>6.</w:t>
      </w:r>
      <w:hyperlink r:id="rId11" w:history="1">
        <w:r w:rsidRPr="00EF544B">
          <w:t>ՄԱՍԻՍ ՔԱՂԱՔԱՅԻՆ ՀԱՄԱՅՆՔԻ ՍԵՓԱԿԱՆՈՒԹՅՈՒՆ ՀԱՆԴԻՍԱՑՈՂ ՈՉ ԲՆԱԿԵԼԻ ՏԱՐԱԾՔՆԵՐԸ ՎԱՐՁԱԿԱԼՈՒԹՅԱՆ ՏՐԱՄԱԴՐԵԼՈՒ ԹՈՒՅԼՏՎՈՒԹՅԱՆ, ԺԱՄԿԵՏՆ ՈՒ ՎՃԱՐԻ ՉԱՓԸ ՍԱՀՄԱՆԵԼՈՒ ՄԱՍԻՆ</w:t>
        </w:r>
      </w:hyperlink>
    </w:p>
    <w:p w:rsidR="00E22FEA" w:rsidRPr="00EF544B" w:rsidRDefault="00E22FEA" w:rsidP="00E22FEA">
      <w:r w:rsidRPr="00EF544B">
        <w:lastRenderedPageBreak/>
        <w:t>7.</w:t>
      </w:r>
      <w:hyperlink r:id="rId12" w:history="1">
        <w:r w:rsidRPr="00EF544B">
          <w:t>,,ՄԱՔՈՒՐ ՄԱՍԻՍ,, ՓԱԿ ԲԱԺՆԵՏԻՐԱԿԱՆ ԸՆԿԵՐՈՒԹՅԱՆ ՀԱՍՏԻՔԱՑՈՒՑԱԿԸ, ՊԱՇՏՈՆԱՅԻՆ ԴՐՈՒՅՔԱՉԱՓԵՐԸ, ԱՇԽԱՏՈՂՆԵՐԻ ՔԱՆԱԿԸ ՀԱՍՏԱՏԵԼՈՒ ԵՎ ՄԱՍԻՍ ՔԱՂԱՔԱՅԻՆ ՀԱՄԱՅՆՔԻ ԱՎԱԳԱՆՈՒ 2017 ԹՎԱԿԱՆԻ ԴԵԿՏԵՄԲԵՐԻ 7-Ի N116-Ա ՈՐՈՇՈՒՄԸ ՈՒԺԸ ԿՈՐՑՐԱԾ ՃԱՆԱՉԵԼՈՒ ՄԱՍԻՆ</w:t>
        </w:r>
      </w:hyperlink>
    </w:p>
    <w:p w:rsidR="00E22FEA" w:rsidRPr="00EF544B" w:rsidRDefault="00E22FEA" w:rsidP="00E22FEA">
      <w:r w:rsidRPr="00EF544B">
        <w:t>8.</w:t>
      </w:r>
      <w:hyperlink r:id="rId13" w:history="1">
        <w:r w:rsidRPr="00EF544B">
          <w:t>ԱՐԱՐԱՏԻ ՄԱՐԶԻ ՄԱՍԻՍ ՔԱՂԱՔԱՅԻՆ ՀԱՄԱՅՆՔԻ ,,ՄԱՍԻՍԻ ՄՇԱԿՈՒՅԹԻ ԿԵՆՏՐՈՆ,, ՓԱԿ ԲԱԺՆԵՏԻՐԱԿԱՆ ԸՆԿԵՐՈՒԹՅԱՆ ՀԱՍՏԻՔԱՑՈՒՑԱԿԸ, ՊԱՇՏՈՆԱՅԻՆ ԴՐՈՒՅՔԱՉԱՓԵՐԸ ԵՎ ԱՇԽԱՏՈՂՆԵՐԻ ՔԱՆԱԿԸ ՀԱՍՏԱՏԵԼՈՒ ԵՎ ՄԱՍԻՍ ՔԱՂԱՔԱՅԻՆ ՀԱՄԱՅՆՔԻ ԱՎԱԳԱՆՈՒ 2017 ԹՎԱԿԱՆԻ ՀՈԿՏԵՄԲԵՐԻ 10-Ի N 86-Ա ՈՐՈՇՈՒՄԸ ՈՒԺԸ ԿՈՐՑՐԱԾ ՃԱՆԱՉԵԼՈՒ ՄԱՍԻՆ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07"/>
        <w:gridCol w:w="1212"/>
      </w:tblGrid>
      <w:tr w:rsidR="00E22FEA" w:rsidRPr="00EF544B" w:rsidTr="00E22F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2FEA" w:rsidRPr="00EF544B" w:rsidRDefault="00E22FEA" w:rsidP="00EF544B">
            <w:r w:rsidRPr="00EF544B">
              <w:t>Կողմ-8</w:t>
            </w:r>
          </w:p>
        </w:tc>
        <w:tc>
          <w:tcPr>
            <w:tcW w:w="0" w:type="auto"/>
            <w:vAlign w:val="center"/>
            <w:hideMark/>
          </w:tcPr>
          <w:p w:rsidR="00E22FEA" w:rsidRPr="00EF544B" w:rsidRDefault="00E22FEA" w:rsidP="00EF544B">
            <w:r w:rsidRPr="00EF544B">
              <w:t>Դեմ-0</w:t>
            </w:r>
          </w:p>
        </w:tc>
        <w:tc>
          <w:tcPr>
            <w:tcW w:w="0" w:type="auto"/>
            <w:vAlign w:val="center"/>
            <w:hideMark/>
          </w:tcPr>
          <w:p w:rsidR="00E22FEA" w:rsidRPr="00EF544B" w:rsidRDefault="00E22FEA" w:rsidP="00EF544B">
            <w:r w:rsidRPr="00EF544B">
              <w:t>Ձեռնպահ-0</w:t>
            </w:r>
          </w:p>
        </w:tc>
      </w:tr>
    </w:tbl>
    <w:p w:rsidR="00E22FEA" w:rsidRPr="00EF544B" w:rsidRDefault="00E22FEA" w:rsidP="00E22FEA">
      <w:r w:rsidRPr="00EF544B">
        <w:t>Որոշումն ընդունված է. /կցվում է որոշում N 82-Ա/</w:t>
      </w:r>
    </w:p>
    <w:p w:rsidR="00E22FEA" w:rsidRPr="00EF544B" w:rsidRDefault="00E22FEA" w:rsidP="00E22FEA">
      <w:r w:rsidRPr="00EF544B">
        <w:t>Լսեցին</w:t>
      </w:r>
      <w:r w:rsidRPr="00EF544B">
        <w:br/>
        <w:t>ՄԱՍԻՍ ՔԱՂԱՔԱՅԻՆ ՀԱՄԱՅՆՔԻ ԱՎԱԳԱՆՈՒ 2013 ԹՎԱԿԱՆԻ ՄԱՐՏԻ 26-Ի N10-Ա, N12-Ա, 2014 ԹՎԱԿԱՆԻ ՀՈԿՏԵՄԲԵՐԻ 03-Ի N71-Ա ԵՎ 2018 ԹՎԱԿԱՆԻ ՍԵՊՏԵՄԲԵՐԻ 27-Ի N54-Ա ՈՐՈՇՈՒՄՆԵՐԸ ՈՒԺԸ ԿՈՐՑՐԱԾ ՃԱՆԱՉԵԼՈՒ ՄԱՍԻՆ</w:t>
      </w:r>
    </w:p>
    <w:p w:rsidR="00E22FEA" w:rsidRPr="00EF544B" w:rsidRDefault="00E22FEA" w:rsidP="00E22FEA">
      <w:r w:rsidRPr="00EF544B">
        <w:t xml:space="preserve">/Զեկ. </w:t>
      </w:r>
      <w:hyperlink r:id="rId14" w:tgtFrame="employee" w:history="1">
        <w:r w:rsidRPr="00EF544B">
          <w:t>ԼՈՒՍԻՆԵ ԱՍՏԱԲԱՑՅԱՆ</w:t>
        </w:r>
      </w:hyperlink>
      <w:r w:rsidRPr="00EF544B">
        <w:t>/</w:t>
      </w:r>
    </w:p>
    <w:p w:rsidR="00E22FEA" w:rsidRPr="00EF544B" w:rsidRDefault="00E22FEA" w:rsidP="00E22FEA">
      <w:r w:rsidRPr="00EF544B">
        <w:t>Ղեկավարվելով ,,Նորմատիվ իրավական ակտերի մասին,, Հայաստանի Հանրապետության օրենքի 37-րդ հոդվածի 1-ին մասի պահանջով Մասիս քաղաքային համայնքի ավագանին որոշում է.</w:t>
      </w:r>
    </w:p>
    <w:p w:rsidR="00E22FEA" w:rsidRPr="00EF544B" w:rsidRDefault="00E22FEA" w:rsidP="00E22FEA">
      <w:r w:rsidRPr="00EF544B">
        <w:t> </w:t>
      </w:r>
    </w:p>
    <w:p w:rsidR="00E22FEA" w:rsidRPr="00EF544B" w:rsidRDefault="00E22FEA" w:rsidP="00E22FEA">
      <w:r w:rsidRPr="00EF544B">
        <w:t xml:space="preserve">1.ՈՒժը կորցրած ճանաչել Մասիս քաղաքային համայնքի ավագանու </w:t>
      </w:r>
    </w:p>
    <w:p w:rsidR="00E22FEA" w:rsidRPr="00EF544B" w:rsidRDefault="00E22FEA" w:rsidP="00E22FEA">
      <w:r w:rsidRPr="00EF544B">
        <w:t>2013 թվականի մարտի 26-ի ,,Համայնքի սեփականություն հանդիսացող քաղաքապետարանի վարչական շենքի ազատ տարածքներից վարձակալության իրավունքով տրամադրելու թույլտվության մասին,, N10-Ա,</w:t>
      </w:r>
    </w:p>
    <w:p w:rsidR="00E22FEA" w:rsidRPr="00EF544B" w:rsidRDefault="00E22FEA" w:rsidP="00E22FEA">
      <w:r w:rsidRPr="00EF544B">
        <w:t>2013 թվականի մարտի 26-ի ,,Համայնքի սեփականություն հանդիսացող քաղաքապետարանի վարչական շենքի տանիքը օգտագործման տրամադրելու թույլտվություն տալու մասին,, N12-Ա,</w:t>
      </w:r>
    </w:p>
    <w:p w:rsidR="00E22FEA" w:rsidRPr="00EF544B" w:rsidRDefault="00E22FEA" w:rsidP="00E22FEA">
      <w:r w:rsidRPr="00EF544B">
        <w:t>2014 թվականի հոկտեմբերի 03-ի ,,Մասիս քաղաքային համայնքի ,,Գեղարվեստի դպրոց,, ՀՈԱԿ և ,,Առնո Բաբաջանյանի անվան երաժշտական դպրոց,, ՀՈԱԿ հաճախող երեխաների համար ամսական ուսման վարձավճարները և արտոնություններ սահմանելու, Մասիս քաղաքային համայնքի ավագանու 27.12.2007թ. N11 որոշումը ուժը կորցրած ճանաչելու մասին,, N71-Ա,</w:t>
      </w:r>
    </w:p>
    <w:p w:rsidR="00E22FEA" w:rsidRPr="00EF544B" w:rsidRDefault="00E22FEA" w:rsidP="00E22FEA">
      <w:r w:rsidRPr="00EF544B">
        <w:t>2018 թվականի սեպտեմբերի 27-ի ,,Մասիս քաղաքային համայնքի սեփականություն հադիսացող ոչ բնակելի տարածքները օգտագործման տրամադրելու թույլտվություն տալու և ժամավճար սահմանելու մասին,, N54-Ա որոշումները:</w:t>
      </w:r>
    </w:p>
    <w:p w:rsidR="00E22FEA" w:rsidRPr="00EF544B" w:rsidRDefault="00E22FEA" w:rsidP="00E22FEA">
      <w:r w:rsidRPr="00EF544B">
        <w:t> </w:t>
      </w:r>
    </w:p>
    <w:p w:rsidR="00E22FEA" w:rsidRPr="00EF544B" w:rsidRDefault="00E22FEA" w:rsidP="00E22FEA">
      <w:r w:rsidRPr="00EF544B">
        <w:t> </w:t>
      </w:r>
    </w:p>
    <w:p w:rsidR="00E22FEA" w:rsidRPr="00EF544B" w:rsidRDefault="00E22FEA" w:rsidP="00E22FEA">
      <w:r w:rsidRPr="00EF544B"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07"/>
        <w:gridCol w:w="1212"/>
      </w:tblGrid>
      <w:tr w:rsidR="00E22FEA" w:rsidRPr="00EF544B" w:rsidTr="00E22F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2FEA" w:rsidRPr="00EF544B" w:rsidRDefault="00E22FEA" w:rsidP="00EF544B">
            <w:r w:rsidRPr="00EF544B">
              <w:t>Կողմ-8</w:t>
            </w:r>
          </w:p>
        </w:tc>
        <w:tc>
          <w:tcPr>
            <w:tcW w:w="0" w:type="auto"/>
            <w:vAlign w:val="center"/>
            <w:hideMark/>
          </w:tcPr>
          <w:p w:rsidR="00E22FEA" w:rsidRPr="00EF544B" w:rsidRDefault="00E22FEA" w:rsidP="00EF544B">
            <w:r w:rsidRPr="00EF544B">
              <w:t>Դեմ-0</w:t>
            </w:r>
          </w:p>
        </w:tc>
        <w:tc>
          <w:tcPr>
            <w:tcW w:w="0" w:type="auto"/>
            <w:vAlign w:val="center"/>
            <w:hideMark/>
          </w:tcPr>
          <w:p w:rsidR="00E22FEA" w:rsidRPr="00EF544B" w:rsidRDefault="00E22FEA" w:rsidP="00EF544B">
            <w:r w:rsidRPr="00EF544B">
              <w:t>Ձեռնպահ-0</w:t>
            </w:r>
          </w:p>
        </w:tc>
      </w:tr>
    </w:tbl>
    <w:p w:rsidR="00E22FEA" w:rsidRPr="00EF544B" w:rsidRDefault="00E22FEA" w:rsidP="00E22FEA">
      <w:r w:rsidRPr="00EF544B">
        <w:t>Որոշումն ընդունված է. /կցվում է որոշում N 83-Ա/</w:t>
      </w:r>
    </w:p>
    <w:p w:rsidR="00E22FEA" w:rsidRPr="00EF544B" w:rsidRDefault="00E22FEA" w:rsidP="00E22FEA">
      <w:r w:rsidRPr="00EF544B">
        <w:t>Լսեցին</w:t>
      </w:r>
      <w:r w:rsidRPr="00EF544B">
        <w:br/>
        <w:t>ՄԱՍԻՍ ՔԱՂԱՔԱՅԻՆ ՀԱՄԱՅՆՔԻ 2019 ԹՎԱԿԱՆԻ ՏԵՂԱԿԱՆ ՏՈՒՐՔԵՐԻ ԵՎ ՎՃԱՐՆԵՐԻ ՏԵՍԱԿՆԵՐՆ ՈՒ ԴՐՈՒՅՔԱՉԱՓԵՐԸ ՍԱՀՄԱՆԵԼՈԻ ՄԱՍԻՆ</w:t>
      </w:r>
    </w:p>
    <w:p w:rsidR="00E22FEA" w:rsidRPr="00EF544B" w:rsidRDefault="00E22FEA" w:rsidP="00E22FEA">
      <w:r w:rsidRPr="00EF544B">
        <w:t xml:space="preserve">/Զեկ. </w:t>
      </w:r>
      <w:hyperlink r:id="rId15" w:tgtFrame="employee" w:history="1">
        <w:r w:rsidRPr="00EF544B">
          <w:t>ԼՈՒՍԻՆԵ ԱՍՏԱԲԱՑՅԱՆ</w:t>
        </w:r>
      </w:hyperlink>
      <w:r w:rsidRPr="00EF544B">
        <w:t>/</w:t>
      </w:r>
    </w:p>
    <w:p w:rsidR="00E22FEA" w:rsidRPr="00EF544B" w:rsidRDefault="00E22FEA" w:rsidP="00E22FEA">
      <w:r w:rsidRPr="00EF544B">
        <w:t xml:space="preserve">Ղեկավարվելով ,,Տեղական ինքնակառավարման մասին,, Հայաստանի Հանրապետության օրենքի 18-րդ հոդվածի 1-ին մասի  18-րդ կետի, ,,Տեղական տուրքերի և վճարների մասին,, Հայաստանի </w:t>
      </w:r>
      <w:r w:rsidRPr="00EF544B">
        <w:lastRenderedPageBreak/>
        <w:t>Հանրապետության օրենքի 11-րդ հոդվածի, 12-րդ հոդվածի 1-ին, 2-րդ մասերի, 13-րդ, 14-րդ հոդվածների,  ,,Աղբահանության և սանիտարական մաքրման մասին,, Հայաստանի Հանրապետության օրենքի 14-րդ հոդվածի պահանջներով.   Մասիս քաղաքային համայնքի ավագանին որոշում է՝</w:t>
      </w:r>
    </w:p>
    <w:p w:rsidR="00E22FEA" w:rsidRPr="00EF544B" w:rsidRDefault="00E22FEA" w:rsidP="00E22FEA">
      <w:r w:rsidRPr="00EF544B">
        <w:t> </w:t>
      </w:r>
    </w:p>
    <w:p w:rsidR="00E22FEA" w:rsidRPr="00EF544B" w:rsidRDefault="00E22FEA" w:rsidP="00E22FEA">
      <w:r w:rsidRPr="00EF544B">
        <w:t> 1.Սահմանել Հայաստանի Հանրապետության Արարատի մարզի Մասիս քաղաքային համայնքում 2019 թվականի տեղական տուրքերի տեսակներն ու դրույքաչափերը.</w:t>
      </w:r>
    </w:p>
    <w:p w:rsidR="00E22FEA" w:rsidRPr="00EF544B" w:rsidRDefault="00E22FEA" w:rsidP="00E22FEA">
      <w:r w:rsidRPr="00EF544B">
        <w:t>1) Հայաստանի Հանրապետության օրենսդրությամբ սահմանված կարգով հաստատված ճարտարապետաշինարարական նախագծին համապատասխան` համայնքի վարչական տարածքում նոր շենքերի, շինությունների և ոչ հիմնական շինությունների շինարարության (տեղադրման) (բացառությամբ Հայաստանի Հանրապետության օրենսդրությամբ սահմանված շինարարության թույլտվություն չպահանջող դեպքերի) թույլտվության համար.</w:t>
      </w:r>
    </w:p>
    <w:p w:rsidR="00E22FEA" w:rsidRPr="00EF544B" w:rsidRDefault="00E22FEA" w:rsidP="00E22FEA">
      <w:r w:rsidRPr="00EF544B">
        <w:t> ա. հիմնական շենքերի և շինությունների համար`</w:t>
      </w:r>
    </w:p>
    <w:p w:rsidR="00E22FEA" w:rsidRPr="00EF544B" w:rsidRDefault="00E22FEA" w:rsidP="00E22FEA">
      <w:r w:rsidRPr="00EF544B">
        <w:t xml:space="preserve"> մինչև 300 քառակուսի մետր ընդհանուր մակերես ունեցող անհատական բնակելի, այդ թվում` այգեգործական (ամառանոցային) տների, ինչպես նաև մինչև 200 քառակուսի մետր ընդհանուր մակերես ունեցող հասարակական և արտադրական նշանակության շենքերի և շինությունների համար` </w:t>
      </w:r>
    </w:p>
    <w:p w:rsidR="00E22FEA" w:rsidRPr="00EF544B" w:rsidRDefault="00E22FEA" w:rsidP="00E22FEA">
      <w:r w:rsidRPr="00EF544B">
        <w:t>15 000   /տասնհինգ հազար/ Հայաստանի Հանրապետության դրամ,</w:t>
      </w:r>
    </w:p>
    <w:p w:rsidR="00E22FEA" w:rsidRPr="00EF544B" w:rsidRDefault="00E22FEA" w:rsidP="00E22FEA">
      <w:r w:rsidRPr="00EF544B">
        <w:t> բ. սույն կետի «ա» ենթակետով չնախատեսված շենքերի և շինությունների համար`</w:t>
      </w:r>
    </w:p>
    <w:p w:rsidR="00E22FEA" w:rsidRPr="00EF544B" w:rsidRDefault="00E22FEA" w:rsidP="00E22FEA">
      <w:r w:rsidRPr="00EF544B">
        <w:t> - 200-ից մինչև 500 քառակուսի մետր ընդհանուր մակերես ունեցող շենքերի և շինությունների համար`</w:t>
      </w:r>
    </w:p>
    <w:p w:rsidR="00E22FEA" w:rsidRPr="00EF544B" w:rsidRDefault="00E22FEA" w:rsidP="00E22FEA">
      <w:r w:rsidRPr="00EF544B">
        <w:t>30 000 /երեսուն հազար/ Հայաստանի Հանրապետության դրամ,</w:t>
      </w:r>
    </w:p>
    <w:p w:rsidR="00E22FEA" w:rsidRPr="00EF544B" w:rsidRDefault="00E22FEA" w:rsidP="00E22FEA">
      <w:r w:rsidRPr="00EF544B">
        <w:t xml:space="preserve"> - 500-ից մինչև 1000 քառակուսի մետր ընդհանուր մակերես ունեցող շենքերի և շինությունների համար`  </w:t>
      </w:r>
    </w:p>
    <w:p w:rsidR="00E22FEA" w:rsidRPr="00EF544B" w:rsidRDefault="00E22FEA" w:rsidP="00E22FEA">
      <w:r w:rsidRPr="00EF544B">
        <w:t>   50 000 / հիսուն հազար/ Հայաստանի Հանրապետության դրամ,</w:t>
      </w:r>
    </w:p>
    <w:p w:rsidR="00E22FEA" w:rsidRPr="00EF544B" w:rsidRDefault="00E22FEA" w:rsidP="00E22FEA">
      <w:r w:rsidRPr="00EF544B">
        <w:t xml:space="preserve"> - 1000-ից մինչև 3000 քառակուսի մետր ընդհանուր մակերես ունեցող շենքերի և շինությունների համար՝     </w:t>
      </w:r>
    </w:p>
    <w:p w:rsidR="00E22FEA" w:rsidRPr="00EF544B" w:rsidRDefault="00E22FEA" w:rsidP="00E22FEA">
      <w:r w:rsidRPr="00EF544B">
        <w:t>50 000/ հիսուն հազար/ Հայաստանի Հանրապետության դրամ,</w:t>
      </w:r>
    </w:p>
    <w:p w:rsidR="00E22FEA" w:rsidRPr="00EF544B" w:rsidRDefault="00E22FEA" w:rsidP="00E22FEA">
      <w:r w:rsidRPr="00EF544B">
        <w:t xml:space="preserve"> - 3000-ից և ավելի քառակուսի մետր ընդհանուր մակերես ունեցող շենքերի և շինությունների համար՝    </w:t>
      </w:r>
    </w:p>
    <w:p w:rsidR="00E22FEA" w:rsidRPr="00EF544B" w:rsidRDefault="00E22FEA" w:rsidP="00E22FEA">
      <w:r w:rsidRPr="00EF544B">
        <w:t>100 000 / մեկ հարյուր հազար/ Հայաստանի Հանրապետության դրամ,</w:t>
      </w:r>
    </w:p>
    <w:p w:rsidR="00E22FEA" w:rsidRPr="00EF544B" w:rsidRDefault="00E22FEA" w:rsidP="00E22FEA">
      <w:r w:rsidRPr="00EF544B">
        <w:t> գ. ոչ հիմնական շենքերի և շինությունների համար`</w:t>
      </w:r>
    </w:p>
    <w:p w:rsidR="00E22FEA" w:rsidRPr="00EF544B" w:rsidRDefault="00E22FEA" w:rsidP="00E22FEA">
      <w:r w:rsidRPr="00EF544B">
        <w:t> - մինչև 20 քառակուսի մետր ընդհանուր մակերես ունեցող շենքերի և շինությունների համար`</w:t>
      </w:r>
    </w:p>
    <w:p w:rsidR="00E22FEA" w:rsidRPr="00EF544B" w:rsidRDefault="00E22FEA" w:rsidP="00E22FEA">
      <w:r w:rsidRPr="00EF544B">
        <w:t>3 000 / երեք հազար/  Հայաստանի Հանրապետության դրամ,</w:t>
      </w:r>
    </w:p>
    <w:p w:rsidR="00E22FEA" w:rsidRPr="00EF544B" w:rsidRDefault="00E22FEA" w:rsidP="00E22FEA">
      <w:r w:rsidRPr="00EF544B">
        <w:t> - 20 և ավելի քառակուսի մետր ընդհանուր մակերես ունեցող շենքերի և շինությունների համար`</w:t>
      </w:r>
    </w:p>
    <w:p w:rsidR="00E22FEA" w:rsidRPr="00EF544B" w:rsidRDefault="00E22FEA" w:rsidP="00E22FEA">
      <w:r w:rsidRPr="00EF544B">
        <w:t>5 000 / հինգ հազար/  Հայաստանի Հանրապետության դրամ,</w:t>
      </w:r>
    </w:p>
    <w:p w:rsidR="00E22FEA" w:rsidRPr="00EF544B" w:rsidRDefault="00E22FEA" w:rsidP="00E22FEA">
      <w:r w:rsidRPr="00EF544B">
        <w:t> 2) համայնքի վարչական տարածքում գոյություն ունեցող շենքերի և շինությունների վերակառուցման, վերականգնման, ուժեղացման, արդիականացման և բարեկարգման աշխատանքների (բացառությամբ Հայաստանի Հանրապետության օրենսդրությամբ սահմանված շինարարության թույլտվություն չպահանջվող դեպքերի) թույլտվության համար, եթե սահմանված կարգով հաստատված ճարտարապետաշինարարական նախագծով`</w:t>
      </w:r>
    </w:p>
    <w:p w:rsidR="00E22FEA" w:rsidRPr="00EF544B" w:rsidRDefault="00E22FEA" w:rsidP="00E22FEA">
      <w:r w:rsidRPr="00EF544B">
        <w:t> ա. չի նախատեսվում կցակառույցների, վերնակառույցների, շենքի գաբարիտային չափերն ընդլայնող այլ կառույցների (այդ թվում` ստորգետնյա) հետևանքով օբյեկտի ընդհանուր մակերեսի ավելացում կամ շենքերի գործառական նշանակության փոփոխություն`</w:t>
      </w:r>
    </w:p>
    <w:p w:rsidR="00E22FEA" w:rsidRPr="00EF544B" w:rsidRDefault="00E22FEA" w:rsidP="00E22FEA">
      <w:r w:rsidRPr="00EF544B">
        <w:lastRenderedPageBreak/>
        <w:t>3 000 /երեք հազար/  Հայաստանի Հանրապետության դրամ,</w:t>
      </w:r>
    </w:p>
    <w:p w:rsidR="00E22FEA" w:rsidRPr="00EF544B" w:rsidRDefault="00E22FEA" w:rsidP="00E22FEA">
      <w:r w:rsidRPr="00EF544B">
        <w:t> բ. բացի շենքերի և շինությունների վերակառուցման, ուժեղացման, վերականգնման կամ արդիականացման աշխատանքներից, նախատեսվում է նաև կցակառույցների, վերնակառույցների, շենքի տրամաչափային չափերն ընդլայնող այլ կառույցների (այդ թվում` ստորգետնյա) հետևանքով օբյեկտի ընդհանուր մակերեսի ավելացում կամ շենքերի գործառական նշանակության փոփոխություն, և, բացի սույն կետի «ա» ենթակետով սահմանված դրույքաչափից, կիրառվում են նաև նոր շինարարության համար սույն հոդվածի 1-ին մասի 1-ին կետով սահմանված նորմերը և դրույքաչափերը` շենքերի և շինությունների ընդհանուր մակերեսի ավելացման կամ շենքերի գործառական նշանակության փոփոխության մասով,</w:t>
      </w:r>
    </w:p>
    <w:p w:rsidR="00E22FEA" w:rsidRPr="00EF544B" w:rsidRDefault="00E22FEA" w:rsidP="00E22FEA">
      <w:r w:rsidRPr="00EF544B">
        <w:t> գ. նախատեսվում է միայն կցակառույցների, վերնակառույցների, շենքի գաբարիտային չափերն ընդլայնող այլ կառույցների (այդ թվում` ստորգետնյա) շինարարություն կամ շենքերի գործառական նշանակության փոփոխություն, ապա, ,,Տեղական տուրքերի և վճարների մասին Հայաստանի Հանրապետության օրենքի իմաստով, այն համարվում է նոր շինարարություն, որի նկատմամբ կիրառվում են նոր շինարարության համար սույն հոդվածի 1-ին մասի 1-ին կետով սահմանված նորմերը և դրույքաչափերը.</w:t>
      </w:r>
    </w:p>
    <w:p w:rsidR="00E22FEA" w:rsidRPr="00EF544B" w:rsidRDefault="00E22FEA" w:rsidP="00E22FEA">
      <w:r w:rsidRPr="00EF544B">
        <w:t> 3) համայնքի վարչական տարածքում շենքերի, շինությունների և քաղաքաշինական այլ օբյեկտների քանդման (բացառությամբ Հայաստանի Հանրապետության օրենսդրությամբ սահմանված քանդման թույլտվություն չպահանջվող դեպքերի) թույլտվության համար`</w:t>
      </w:r>
    </w:p>
    <w:p w:rsidR="00E22FEA" w:rsidRPr="00EF544B" w:rsidRDefault="00E22FEA" w:rsidP="00E22FEA">
      <w:r w:rsidRPr="00EF544B">
        <w:t>5 000 / հինգ հազար/ Հայաստանի Հանրապետության դրամ,</w:t>
      </w:r>
    </w:p>
    <w:p w:rsidR="00E22FEA" w:rsidRPr="00EF544B" w:rsidRDefault="00E22FEA" w:rsidP="00E22FEA">
      <w:r w:rsidRPr="00EF544B">
        <w:t> 4) համայնքի վարչական տարածքում հեղուկ վառելիքի, սեղմված բնական կամ հեղուկացված նավթային գազերի վաճառքի թույլտվության համար՝ օրացուցային տարվա համար`</w:t>
      </w:r>
    </w:p>
    <w:p w:rsidR="00E22FEA" w:rsidRPr="00EF544B" w:rsidRDefault="00E22FEA" w:rsidP="00E22FEA">
      <w:r w:rsidRPr="00EF544B">
        <w:t>200 000 /երկու հարյուր հազար/ Հայաստանի Հանրապետության դրամ,</w:t>
      </w:r>
    </w:p>
    <w:p w:rsidR="00E22FEA" w:rsidRPr="00EF544B" w:rsidRDefault="00E22FEA" w:rsidP="00E22FEA">
      <w:r w:rsidRPr="00EF544B">
        <w:t> 5) համայնքի վարչական տարածքում գտնվող խանութներում և կրպակներում հեղուկ վառելիքի, սեղմված բնական կամ հեղուկացված նավթային գազերի, մանրածախ առևտրի կետերում կամ ավտոմեքենաների տեխնիկական սպասարկման և նորոգման ծառայության օբյեկտներում տեխնիկական հեղուկների վաճառքի թույլտվության համար՝ օրացուցային տարվա համար`</w:t>
      </w:r>
    </w:p>
    <w:p w:rsidR="00E22FEA" w:rsidRPr="00EF544B" w:rsidRDefault="00E22FEA" w:rsidP="00E22FEA">
      <w:r w:rsidRPr="00EF544B">
        <w:t>60 000  /վաթսուն հազար/ Հայաստանի Հանրապետության դրամ,</w:t>
      </w:r>
    </w:p>
    <w:p w:rsidR="00E22FEA" w:rsidRPr="00EF544B" w:rsidRDefault="00E22FEA" w:rsidP="00E22FEA">
      <w:r w:rsidRPr="00EF544B">
        <w:t> 6) համայնքի վարչական տարածքում թանկարժեք մետաղներից պատրաստված իրերի որոշակի վայրում մանրածախ առք ու վաճառք իրականացնելու թույլտվության համար՝ օրացուցային տարվա համար`</w:t>
      </w:r>
    </w:p>
    <w:p w:rsidR="00E22FEA" w:rsidRPr="00EF544B" w:rsidRDefault="00E22FEA" w:rsidP="00E22FEA">
      <w:r w:rsidRPr="00EF544B">
        <w:t>50 000 /հիսուն հազար/ Հայաստանի Հանրապետության դրամ,</w:t>
      </w:r>
    </w:p>
    <w:p w:rsidR="00E22FEA" w:rsidRPr="00EF544B" w:rsidRDefault="00E22FEA" w:rsidP="00E22FEA">
      <w:r w:rsidRPr="00EF544B">
        <w:t> 7) համայնքի վարչական տարածքում ոգելից և ալկոհոլային խմիչքների և (կամ) ծխախոտի արտադրանքի վաճառքի թույլտվության համար՝</w:t>
      </w:r>
    </w:p>
    <w:p w:rsidR="00E22FEA" w:rsidRPr="00EF544B" w:rsidRDefault="00E22FEA" w:rsidP="00E22FEA">
      <w:r w:rsidRPr="00EF544B">
        <w:t> ա. ոգելից և ալկոհոլային խմիչքի վաճառքի թույլտվության համար՝ յուրաքանչյուր եռամսյակի համար՝</w:t>
      </w:r>
    </w:p>
    <w:p w:rsidR="00E22FEA" w:rsidRPr="00EF544B" w:rsidRDefault="00E22FEA" w:rsidP="00E22FEA">
      <w:r w:rsidRPr="00EF544B">
        <w:t xml:space="preserve"> - մինչև 26 քառակուսի մետր ընդհանուր մակերես ունեցող հիմնական և ոչ հիմնական շինությունների ներսում վաճառքի կազմակերպման դեպքում՝ </w:t>
      </w:r>
    </w:p>
    <w:p w:rsidR="00E22FEA" w:rsidRPr="00EF544B" w:rsidRDefault="00E22FEA" w:rsidP="00E22FEA">
      <w:r w:rsidRPr="00EF544B">
        <w:t> 6 000 /վեց հազար/ Հայաստանի Հանրապետության դրամ,</w:t>
      </w:r>
    </w:p>
    <w:p w:rsidR="00E22FEA" w:rsidRPr="00EF544B" w:rsidRDefault="00E22FEA" w:rsidP="00E22FEA">
      <w:r w:rsidRPr="00EF544B">
        <w:t> - 26-ից մինչև 50 քառակուսի մետր ընդհանուր մակերես ունեցող հիմնական և ոչ հիմնական շինությունների ներսում վաճառքի կազմակերպման դեպքում՝</w:t>
      </w:r>
    </w:p>
    <w:p w:rsidR="00E22FEA" w:rsidRPr="00EF544B" w:rsidRDefault="00E22FEA" w:rsidP="00E22FEA">
      <w:r w:rsidRPr="00EF544B">
        <w:t>11 000 /տասնմեկ հազար / Հայաստանի Հանրապետության դրամ,</w:t>
      </w:r>
    </w:p>
    <w:p w:rsidR="00E22FEA" w:rsidRPr="00EF544B" w:rsidRDefault="00E22FEA" w:rsidP="00E22FEA">
      <w:r w:rsidRPr="00EF544B">
        <w:t xml:space="preserve"> - 50-ից մինչև 100 քառակուսի մետր ընդհանուր մակերես ունեցող հիմնական և ոչ հիմնական շինությունների ներսում վաճառքի կազմակերպման դեպքում՝ </w:t>
      </w:r>
    </w:p>
    <w:p w:rsidR="00E22FEA" w:rsidRPr="00EF544B" w:rsidRDefault="00E22FEA" w:rsidP="00E22FEA">
      <w:r w:rsidRPr="00EF544B">
        <w:t>14 000 / տասնչորս հազար/ Հայաստանի Հանրապետության դրամ,</w:t>
      </w:r>
    </w:p>
    <w:p w:rsidR="00E22FEA" w:rsidRPr="00EF544B" w:rsidRDefault="00E22FEA" w:rsidP="00E22FEA">
      <w:r w:rsidRPr="00EF544B">
        <w:lastRenderedPageBreak/>
        <w:t xml:space="preserve"> - 100-ից մինչև 200 քառակուսի մետր ընդհանուր մակերես ունեցող հիմնական և ոչ հիմնական շինությունների ներսում վաճառքի կազմակերպման դեպքում՝ </w:t>
      </w:r>
    </w:p>
    <w:p w:rsidR="00E22FEA" w:rsidRPr="00EF544B" w:rsidRDefault="00E22FEA" w:rsidP="00E22FEA">
      <w:r w:rsidRPr="00EF544B">
        <w:t>21 000 /քսանմեկ հազար/ Հայաստանի Հանրապետության դրամ,</w:t>
      </w:r>
    </w:p>
    <w:p w:rsidR="00E22FEA" w:rsidRPr="00EF544B" w:rsidRDefault="00E22FEA" w:rsidP="00E22FEA">
      <w:r w:rsidRPr="00EF544B">
        <w:t xml:space="preserve"> - 200-ից մինչև 500 քառակուսի մետր ընդհանուր մակերես ունեցող հիմնական և ոչ հիմնական շինությունների ներսում վաճառքի կազմակերպման դեպքում՝ </w:t>
      </w:r>
    </w:p>
    <w:p w:rsidR="00E22FEA" w:rsidRPr="00EF544B" w:rsidRDefault="00E22FEA" w:rsidP="00E22FEA">
      <w:r w:rsidRPr="00EF544B">
        <w:t>26 000  /քսանվեց հազար/ Հայաստանի Հանրապետության դրամ,</w:t>
      </w:r>
    </w:p>
    <w:p w:rsidR="00E22FEA" w:rsidRPr="00EF544B" w:rsidRDefault="00E22FEA" w:rsidP="00E22FEA">
      <w:r w:rsidRPr="00EF544B">
        <w:t xml:space="preserve"> - 500 և ավելի քառակուսի մետր ընդհանուր մակերես ունեցող հիմնական և ոչ հիմնական շինությունների ներսում վաճառքի կազմակերպման դեպքում՝ </w:t>
      </w:r>
    </w:p>
    <w:p w:rsidR="00E22FEA" w:rsidRPr="00EF544B" w:rsidRDefault="00E22FEA" w:rsidP="00E22FEA">
      <w:r w:rsidRPr="00EF544B">
        <w:t>46 000 /քառասունվեց հազար/ Հայաստանի Հանրապետության դրամ,</w:t>
      </w:r>
    </w:p>
    <w:p w:rsidR="00E22FEA" w:rsidRPr="00EF544B" w:rsidRDefault="00E22FEA" w:rsidP="00E22FEA">
      <w:r w:rsidRPr="00EF544B">
        <w:t> բ. ծխախոտի արտադրանքի վաճառքի թույլտվության համար՝ յուրաքանչյուր եռամսյակի համար՝</w:t>
      </w:r>
    </w:p>
    <w:p w:rsidR="00E22FEA" w:rsidRPr="00EF544B" w:rsidRDefault="00E22FEA" w:rsidP="00E22FEA">
      <w:r w:rsidRPr="00EF544B">
        <w:t> - մինչև 26 քառակուսի մետր ընդհանուր մակերես ունեցող հիմնական և ոչ հիմնական շինությունների ներսում վաճառքի կազմակերպման դեպքում՝</w:t>
      </w:r>
    </w:p>
    <w:p w:rsidR="00E22FEA" w:rsidRPr="00EF544B" w:rsidRDefault="00E22FEA" w:rsidP="00E22FEA">
      <w:r w:rsidRPr="00EF544B">
        <w:t>6 000 /վեց հազար/ Հայաստանի Հանրապետության դրամ,</w:t>
      </w:r>
    </w:p>
    <w:p w:rsidR="00E22FEA" w:rsidRPr="00EF544B" w:rsidRDefault="00E22FEA" w:rsidP="00E22FEA">
      <w:r w:rsidRPr="00EF544B">
        <w:t> - 26-ից մինչև 50 քառակուսի մետր ընդհանուր մակերես ունեցող հիմնական և ոչ հիմնական շինությունների ներսում վաճառքի կազմակերպման դեպքում՝</w:t>
      </w:r>
    </w:p>
    <w:p w:rsidR="00E22FEA" w:rsidRPr="00EF544B" w:rsidRDefault="00E22FEA" w:rsidP="00E22FEA">
      <w:r w:rsidRPr="00EF544B">
        <w:t>11 000 /տասնմեկ հազար/ Հայաստանի Հանրապետության դրամ,</w:t>
      </w:r>
    </w:p>
    <w:p w:rsidR="00E22FEA" w:rsidRPr="00EF544B" w:rsidRDefault="00E22FEA" w:rsidP="00E22FEA">
      <w:r w:rsidRPr="00EF544B">
        <w:t> - 50-ից մինչև 100 քառակուսի մետր ընդհանուր մակերես ունեցող հիմնական և ոչ հիմնական շինությունների ներսում վաճառքի կազմակերպման դեպքում՝</w:t>
      </w:r>
    </w:p>
    <w:p w:rsidR="00E22FEA" w:rsidRPr="00EF544B" w:rsidRDefault="00E22FEA" w:rsidP="00E22FEA">
      <w:r w:rsidRPr="00EF544B">
        <w:t>  14 000 /տասնչորս հազար / Հայաստանի Հանրապետության դրամ,</w:t>
      </w:r>
    </w:p>
    <w:p w:rsidR="00E22FEA" w:rsidRPr="00EF544B" w:rsidRDefault="00E22FEA" w:rsidP="00E22FEA">
      <w:r w:rsidRPr="00EF544B">
        <w:t> - 100-ից մինչև 200 քառակուսի մետր ընդհանուր մակերես ունեցող հիմնական և ոչ հիմնական շինությունների ներսում վաճառքի կազմակերպման դեպքում՝</w:t>
      </w:r>
    </w:p>
    <w:p w:rsidR="00E22FEA" w:rsidRPr="00EF544B" w:rsidRDefault="00E22FEA" w:rsidP="00E22FEA">
      <w:r w:rsidRPr="00EF544B">
        <w:t> 21 000 /քսանմեկ հազար/ Հայաստանի Հանրապետության դրամ,</w:t>
      </w:r>
    </w:p>
    <w:p w:rsidR="00E22FEA" w:rsidRPr="00EF544B" w:rsidRDefault="00E22FEA" w:rsidP="00E22FEA">
      <w:r w:rsidRPr="00EF544B">
        <w:t xml:space="preserve"> - 200-ից մինչև 500 քառակուսի մետր ընդհանուր մակերես ունեցող հիմնական և ոչ հիմնական շինությունների ներսում վաճառքի կազմակերպման դեպքում՝ </w:t>
      </w:r>
    </w:p>
    <w:p w:rsidR="00E22FEA" w:rsidRPr="00EF544B" w:rsidRDefault="00E22FEA" w:rsidP="00E22FEA">
      <w:r w:rsidRPr="00EF544B">
        <w:t>26 000  /քսանվեց հազար/ Հայաստանի Հանրապետության դրամ,</w:t>
      </w:r>
    </w:p>
    <w:p w:rsidR="00E22FEA" w:rsidRPr="00EF544B" w:rsidRDefault="00E22FEA" w:rsidP="00E22FEA">
      <w:r w:rsidRPr="00EF544B">
        <w:t> - 500 և ավելի քառակուսի մետր ընդհանուր մակերես ունեցող հիմնական և ոչ հիմնական շինությունների ներսում վաճառքի կազմակերպման դեպքում՝ </w:t>
      </w:r>
    </w:p>
    <w:p w:rsidR="00E22FEA" w:rsidRPr="00EF544B" w:rsidRDefault="00E22FEA" w:rsidP="00E22FEA">
      <w:r w:rsidRPr="00EF544B">
        <w:t>46 000 /քառասունվեց հազար/ Հայաստանի Հանրապետության դրամ,</w:t>
      </w:r>
    </w:p>
    <w:p w:rsidR="00E22FEA" w:rsidRPr="00EF544B" w:rsidRDefault="00E22FEA" w:rsidP="00E22FEA">
      <w:r w:rsidRPr="00EF544B">
        <w:t xml:space="preserve"> 8) իրավաբանական անձանց և անհատ ձեռնարկատերերին համայնքի վարչական տարածքում «Առևտրի և ծառայությունների մասին» Հայաստանի Հանրապետության օրենքով սահմանված՝ բացօթյա առևտրի կազմակերպման թույլտվության համար՝ յուրաքանչյուր օրվա համար` </w:t>
      </w:r>
    </w:p>
    <w:p w:rsidR="00E22FEA" w:rsidRPr="00EF544B" w:rsidRDefault="00E22FEA" w:rsidP="00E22FEA">
      <w:r w:rsidRPr="00EF544B">
        <w:t>350 /երեք հարյուր հիսուն/ Հայաստանի Հանրապետության դրամ` մեկ քառակուսի մետրի համար.</w:t>
      </w:r>
    </w:p>
    <w:p w:rsidR="00E22FEA" w:rsidRPr="00EF544B" w:rsidRDefault="00E22FEA" w:rsidP="00E22FEA">
      <w:r w:rsidRPr="00EF544B">
        <w:t> 9) համայնքի վարչական տարածքում առևտրի, հանրային սննդի, զվարճանքի, շահումով խաղերի և վիճակախաղերի կազմակերպման օբյեկտներին, խաղատներին և բաղնիքներին (սաունաներին) ժամը 24.00-ից հետո աշխատելու թույլտվության համար՝ օրացուցային տարվա համար՝</w:t>
      </w:r>
    </w:p>
    <w:p w:rsidR="00E22FEA" w:rsidRPr="00EF544B" w:rsidRDefault="00E22FEA" w:rsidP="00E22FEA">
      <w:r w:rsidRPr="00EF544B">
        <w:t xml:space="preserve"> ա. առևտրի օբյեկտների համար` </w:t>
      </w:r>
    </w:p>
    <w:p w:rsidR="00E22FEA" w:rsidRPr="00EF544B" w:rsidRDefault="00E22FEA" w:rsidP="00E22FEA">
      <w:r w:rsidRPr="00EF544B">
        <w:t>50 000  /հիսուն հազար/ Հայաստանի Հանրապետության դրամ,</w:t>
      </w:r>
    </w:p>
    <w:p w:rsidR="00E22FEA" w:rsidRPr="00EF544B" w:rsidRDefault="00E22FEA" w:rsidP="00E22FEA">
      <w:r w:rsidRPr="00EF544B">
        <w:t> բ. հանրային սննդի և զվարճանքի օբյեկտների համար`</w:t>
      </w:r>
    </w:p>
    <w:p w:rsidR="00E22FEA" w:rsidRPr="00EF544B" w:rsidRDefault="00E22FEA" w:rsidP="00E22FEA">
      <w:r w:rsidRPr="00EF544B">
        <w:lastRenderedPageBreak/>
        <w:t>100 000  /մեկ հարյուր  հազար/ Հայաստանի Հանրապետության դրամ,</w:t>
      </w:r>
    </w:p>
    <w:p w:rsidR="00E22FEA" w:rsidRPr="00EF544B" w:rsidRDefault="00E22FEA" w:rsidP="00E22FEA">
      <w:r w:rsidRPr="00EF544B">
        <w:t xml:space="preserve"> գ. բաղնիքների (սաունաների) համար` </w:t>
      </w:r>
    </w:p>
    <w:p w:rsidR="00E22FEA" w:rsidRPr="00EF544B" w:rsidRDefault="00E22FEA" w:rsidP="00E22FEA">
      <w:r w:rsidRPr="00EF544B">
        <w:t>400 000  /չորս հարյուր  հազար/ Հայաստանի Հանրապետության դրամ,</w:t>
      </w:r>
    </w:p>
    <w:p w:rsidR="00E22FEA" w:rsidRPr="00EF544B" w:rsidRDefault="00E22FEA" w:rsidP="00E22FEA">
      <w:r w:rsidRPr="00EF544B">
        <w:t> դ. խաղատների համար`</w:t>
      </w:r>
    </w:p>
    <w:p w:rsidR="00E22FEA" w:rsidRPr="00EF544B" w:rsidRDefault="00E22FEA" w:rsidP="00E22FEA">
      <w:r w:rsidRPr="00EF544B">
        <w:t>1 000 000 / մեկ միլիոն / Հայաստանի Հանրապետության դրամ,</w:t>
      </w:r>
    </w:p>
    <w:p w:rsidR="00E22FEA" w:rsidRPr="00EF544B" w:rsidRDefault="00E22FEA" w:rsidP="00E22FEA">
      <w:r w:rsidRPr="00EF544B">
        <w:t xml:space="preserve"> ե. շահումով խաղերի համար` </w:t>
      </w:r>
    </w:p>
    <w:p w:rsidR="00E22FEA" w:rsidRPr="00EF544B" w:rsidRDefault="00E22FEA" w:rsidP="00E22FEA">
      <w:r w:rsidRPr="00EF544B">
        <w:t>500 000  /հինգ հարյուր հազար/ Հայաստանի Հանրապետության դրամ,</w:t>
      </w:r>
    </w:p>
    <w:p w:rsidR="00E22FEA" w:rsidRPr="00EF544B" w:rsidRDefault="00E22FEA" w:rsidP="00E22FEA">
      <w:r w:rsidRPr="00EF544B">
        <w:t> զ. վիճակախաղերի համար`</w:t>
      </w:r>
    </w:p>
    <w:p w:rsidR="00E22FEA" w:rsidRPr="00EF544B" w:rsidRDefault="00E22FEA" w:rsidP="00E22FEA">
      <w:r w:rsidRPr="00EF544B">
        <w:t>150 000 /մեկ հարյուր հիսուն հազար/ Հայաստանի Հանրապետության դրամ,</w:t>
      </w:r>
    </w:p>
    <w:p w:rsidR="00E22FEA" w:rsidRPr="00EF544B" w:rsidRDefault="00E22FEA" w:rsidP="00E22FEA">
      <w:r w:rsidRPr="00EF544B">
        <w:t> 10) համայնքի վարչական տարածքում, համայնքային կանոններին համապատասխան, հանրային սննդի կազմակերպման և իրացման թույլտվության համար տեղական  տուրքը յուրաքանչյուր եռամսյակի համար սահմանվում է`</w:t>
      </w:r>
    </w:p>
    <w:p w:rsidR="00E22FEA" w:rsidRPr="00EF544B" w:rsidRDefault="00E22FEA" w:rsidP="00E22FEA">
      <w:r w:rsidRPr="00EF544B">
        <w:t> ա. հիմնական շինությունների ներսում՝</w:t>
      </w:r>
    </w:p>
    <w:p w:rsidR="00E22FEA" w:rsidRPr="00EF544B" w:rsidRDefault="00E22FEA" w:rsidP="00E22FEA">
      <w:r w:rsidRPr="00EF544B">
        <w:t xml:space="preserve"> - մինչև 26 քառակուսի մետր ընդհանուր մակերես ունեցող հանրային սննդի օբյեկտի համար՝ </w:t>
      </w:r>
    </w:p>
    <w:p w:rsidR="00E22FEA" w:rsidRPr="00EF544B" w:rsidRDefault="00E22FEA" w:rsidP="00E22FEA">
      <w:r w:rsidRPr="00EF544B">
        <w:t>5 000 /հինգ հազար/ Հայաստանի Հանրապետության դրամ,</w:t>
      </w:r>
    </w:p>
    <w:p w:rsidR="00E22FEA" w:rsidRPr="00EF544B" w:rsidRDefault="00E22FEA" w:rsidP="00E22FEA">
      <w:r w:rsidRPr="00EF544B">
        <w:t xml:space="preserve"> - 26-ից մինչև 50 քառակուսի մետր ընդհանուր մակերես ունեցող հանրային սննդի օբյեկտի համար՝ </w:t>
      </w:r>
    </w:p>
    <w:p w:rsidR="00E22FEA" w:rsidRPr="00EF544B" w:rsidRDefault="00E22FEA" w:rsidP="00E22FEA">
      <w:r w:rsidRPr="00EF544B">
        <w:t>10 000 /տասը հազար/ Հայաստանի Հանրապետության դրամ,</w:t>
      </w:r>
    </w:p>
    <w:p w:rsidR="00E22FEA" w:rsidRPr="00EF544B" w:rsidRDefault="00E22FEA" w:rsidP="00E22FEA">
      <w:r w:rsidRPr="00EF544B">
        <w:t xml:space="preserve"> - 50-ից մինչև 100 քառակուսի մետր ընդհանուր մակերես ունեցող հանրային սննդի օբյեկտի համար՝ </w:t>
      </w:r>
    </w:p>
    <w:p w:rsidR="00E22FEA" w:rsidRPr="00EF544B" w:rsidRDefault="00E22FEA" w:rsidP="00E22FEA">
      <w:r w:rsidRPr="00EF544B">
        <w:t>15 000 /տասնհինգ հազար/ Հայաստանի Հանրապետության դրամ,</w:t>
      </w:r>
    </w:p>
    <w:p w:rsidR="00E22FEA" w:rsidRPr="00EF544B" w:rsidRDefault="00E22FEA" w:rsidP="00E22FEA">
      <w:r w:rsidRPr="00EF544B">
        <w:t xml:space="preserve"> - 100-ից մինչև 200 քառակուսի մետր ընդհանուր մակերես ունեցող հանրային սննդի օբյեկտի համար՝ </w:t>
      </w:r>
    </w:p>
    <w:p w:rsidR="00E22FEA" w:rsidRPr="00EF544B" w:rsidRDefault="00E22FEA" w:rsidP="00E22FEA">
      <w:r w:rsidRPr="00EF544B">
        <w:t>20 000 /քսան հազար / Հայաստանի Հանրապետության դրամ,</w:t>
      </w:r>
    </w:p>
    <w:p w:rsidR="00E22FEA" w:rsidRPr="00EF544B" w:rsidRDefault="00E22FEA" w:rsidP="00E22FEA">
      <w:r w:rsidRPr="00EF544B">
        <w:t xml:space="preserve">  - 200-ից մինչև 500 քառակուսի մետր ընդհանուր մակերես ունեցող հանրային սննդի օբյեկտի համար՝ </w:t>
      </w:r>
    </w:p>
    <w:p w:rsidR="00E22FEA" w:rsidRPr="00EF544B" w:rsidRDefault="00E22FEA" w:rsidP="00E22FEA">
      <w:r w:rsidRPr="00EF544B">
        <w:t>     30 000   /երեսուն հազար/   Հայաստանի Հանրապետության դրամ,</w:t>
      </w:r>
    </w:p>
    <w:p w:rsidR="00E22FEA" w:rsidRPr="00EF544B" w:rsidRDefault="00E22FEA" w:rsidP="00E22FEA">
      <w:r w:rsidRPr="00EF544B">
        <w:t>  - 500 և ավելի քառակուսի մետր ընդհանուր մակերես ունեցող հանրային սննդի օբյեկտի համար՝</w:t>
      </w:r>
    </w:p>
    <w:p w:rsidR="00E22FEA" w:rsidRPr="00EF544B" w:rsidRDefault="00E22FEA" w:rsidP="00E22FEA">
      <w:r w:rsidRPr="00EF544B">
        <w:t>50 000 / հիսուն հազար/ Հայաստանի Հանրապետության դրամ,</w:t>
      </w:r>
    </w:p>
    <w:p w:rsidR="00E22FEA" w:rsidRPr="00EF544B" w:rsidRDefault="00E22FEA" w:rsidP="00E22FEA">
      <w:r w:rsidRPr="00EF544B">
        <w:t>  բ. ոչ հիմնական շինությունների ներսում`</w:t>
      </w:r>
    </w:p>
    <w:p w:rsidR="00E22FEA" w:rsidRPr="00EF544B" w:rsidRDefault="00E22FEA" w:rsidP="00E22FEA">
      <w:r w:rsidRPr="00EF544B">
        <w:t xml:space="preserve">  - մինչև 26 քառակուսի մետր ընդհանուր մակերես ունեցող հանրային սննդի օբյեկտի համար՝ </w:t>
      </w:r>
    </w:p>
    <w:p w:rsidR="00E22FEA" w:rsidRPr="00EF544B" w:rsidRDefault="00E22FEA" w:rsidP="00E22FEA">
      <w:r w:rsidRPr="00EF544B">
        <w:t>1 000 / հազար / Հայաստանի Հանրապետության դրամ,</w:t>
      </w:r>
    </w:p>
    <w:p w:rsidR="00E22FEA" w:rsidRPr="00EF544B" w:rsidRDefault="00E22FEA" w:rsidP="00E22FEA">
      <w:r w:rsidRPr="00EF544B">
        <w:t>  - 26-ից մինչև 50 քառակուսի մետր ընդհանուր մակերես ունեցող հանրային սննդի օբյեկտի համար՝</w:t>
      </w:r>
    </w:p>
    <w:p w:rsidR="00E22FEA" w:rsidRPr="00EF544B" w:rsidRDefault="00E22FEA" w:rsidP="00E22FEA">
      <w:r w:rsidRPr="00EF544B">
        <w:t>2 000 / երկու հազար/ Հայաստանի Հանրապետության դրամ,</w:t>
      </w:r>
    </w:p>
    <w:p w:rsidR="00E22FEA" w:rsidRPr="00EF544B" w:rsidRDefault="00E22FEA" w:rsidP="00E22FEA">
      <w:r w:rsidRPr="00EF544B">
        <w:t xml:space="preserve">  - 50-ից մինչև 100 քառակուսի մետր ընդհանուր մակերես ունեցող հանրային սննդի օբյեկտի համար՝ </w:t>
      </w:r>
    </w:p>
    <w:p w:rsidR="00E22FEA" w:rsidRPr="00EF544B" w:rsidRDefault="00E22FEA" w:rsidP="00E22FEA">
      <w:r w:rsidRPr="00EF544B">
        <w:t>4 000 /չորս հազար / Հայաստանի Հանրապետության դրամ,</w:t>
      </w:r>
    </w:p>
    <w:p w:rsidR="00E22FEA" w:rsidRPr="00EF544B" w:rsidRDefault="00E22FEA" w:rsidP="00E22FEA">
      <w:r w:rsidRPr="00EF544B">
        <w:t>  - 100-ից մինչև 200 քառակուսի մետր ընդհանուր մակերես ունեցող հանրային սննդի օբյեկտի համար՝</w:t>
      </w:r>
    </w:p>
    <w:p w:rsidR="00E22FEA" w:rsidRPr="00EF544B" w:rsidRDefault="00E22FEA" w:rsidP="00E22FEA">
      <w:r w:rsidRPr="00EF544B">
        <w:t>8 000 / ութ հազար/ Հայաստանի Հանրապետության դրամ,</w:t>
      </w:r>
    </w:p>
    <w:p w:rsidR="00E22FEA" w:rsidRPr="00EF544B" w:rsidRDefault="00E22FEA" w:rsidP="00E22FEA">
      <w:r w:rsidRPr="00EF544B">
        <w:lastRenderedPageBreak/>
        <w:t xml:space="preserve">  - 200-ից մինչև 500 քառակուսի մետր ընդհանուր մակերես ունեցող հանրային սննդի օբյեկտի համար՝ </w:t>
      </w:r>
    </w:p>
    <w:p w:rsidR="00E22FEA" w:rsidRPr="00EF544B" w:rsidRDefault="00E22FEA" w:rsidP="00E22FEA">
      <w:r w:rsidRPr="00EF544B">
        <w:t>15 000 /տասնհինգ հազար/ Հայաստանի Հանրապետության դրամ,</w:t>
      </w:r>
    </w:p>
    <w:p w:rsidR="00E22FEA" w:rsidRPr="00EF544B" w:rsidRDefault="00E22FEA" w:rsidP="00E22FEA">
      <w:r w:rsidRPr="00EF544B">
        <w:t xml:space="preserve">  - 500 և ավելի քառակուսի մետր ընդհանուր մակերես ունեցող հանրային սննդի օբյեկտի համար՝ </w:t>
      </w:r>
    </w:p>
    <w:p w:rsidR="00E22FEA" w:rsidRPr="00EF544B" w:rsidRDefault="00E22FEA" w:rsidP="00E22FEA">
      <w:r w:rsidRPr="00EF544B">
        <w:t>25 000 /քսանհինգ հազար/ Հայաստանի Հանրապետության դրամ,</w:t>
      </w:r>
    </w:p>
    <w:p w:rsidR="00E22FEA" w:rsidRPr="00EF544B" w:rsidRDefault="00E22FEA" w:rsidP="00E22FEA">
      <w:r w:rsidRPr="00EF544B">
        <w:t> 11) համայնքի վարչական տարածքում արտաքին գովազդ տեղադրելու թույլտվության համար յուրաքանչյուր ամիս մեկ քառակուսի մետրի համար՝</w:t>
      </w:r>
    </w:p>
    <w:p w:rsidR="00E22FEA" w:rsidRPr="00EF544B" w:rsidRDefault="00E22FEA" w:rsidP="00E22FEA">
      <w:r w:rsidRPr="00EF544B">
        <w:t> ա. ալկոհոլային սպիրտի պարունակությունը մինչև 20 ծավալային տոկոս արտադրանք գովազդող արտաքին գովազդի համար` </w:t>
      </w:r>
    </w:p>
    <w:p w:rsidR="00E22FEA" w:rsidRPr="00EF544B" w:rsidRDefault="00E22FEA" w:rsidP="00E22FEA">
      <w:r w:rsidRPr="00EF544B">
        <w:t>2 000 /երկու հազար/ Հայաստանի Հանրապետության դրամ,</w:t>
      </w:r>
    </w:p>
    <w:p w:rsidR="00E22FEA" w:rsidRPr="00EF544B" w:rsidRDefault="00E22FEA" w:rsidP="00E22FEA">
      <w:r w:rsidRPr="00EF544B">
        <w:t> բ. թունդ ալկոհոլային (սպիրտի պարունակությունը 20 և ավելի ծավալային տոկոս) արտադրանք գովազդող արտաքին գովազդի համար`</w:t>
      </w:r>
    </w:p>
    <w:p w:rsidR="00E22FEA" w:rsidRPr="00EF544B" w:rsidRDefault="00E22FEA" w:rsidP="00E22FEA">
      <w:r w:rsidRPr="00EF544B">
        <w:t>3 500 /երեք հազար հինգ հարյուր/  Հայաստանի Հանրապետության դրամ,</w:t>
      </w:r>
    </w:p>
    <w:p w:rsidR="00E22FEA" w:rsidRPr="00EF544B" w:rsidRDefault="00E22FEA" w:rsidP="00E22FEA">
      <w:r w:rsidRPr="00EF544B">
        <w:t xml:space="preserve"> գ. սոցիալական գովազդի համար՝  </w:t>
      </w:r>
    </w:p>
    <w:p w:rsidR="00E22FEA" w:rsidRPr="00EF544B" w:rsidRDefault="00E22FEA" w:rsidP="00E22FEA">
      <w:r w:rsidRPr="00EF544B">
        <w:t>0 /զրո/ Հայաստանի Հանրապետության դրամ,</w:t>
      </w:r>
    </w:p>
    <w:p w:rsidR="00E22FEA" w:rsidRPr="00EF544B" w:rsidRDefault="00E22FEA" w:rsidP="00E22FEA">
      <w:r w:rsidRPr="00EF544B">
        <w:t> դ. այլ արտաքին գովազդի համար`</w:t>
      </w:r>
    </w:p>
    <w:p w:rsidR="00E22FEA" w:rsidRPr="00EF544B" w:rsidRDefault="00E22FEA" w:rsidP="00E22FEA">
      <w:r w:rsidRPr="00EF544B">
        <w:t>1 500 / մեկ հազար հինգ հարյուր/ Հայաստանի Հանրապետության դրամ,</w:t>
      </w:r>
    </w:p>
    <w:p w:rsidR="00E22FEA" w:rsidRPr="00EF544B" w:rsidRDefault="00E22FEA" w:rsidP="00E22FEA">
      <w:r w:rsidRPr="00EF544B">
        <w:t xml:space="preserve"> ե. դատարկ գովազդային վահանակների համար՝ համայնքի վարչական տարածքում այլ արտաքին գովազդ տեղադրելու թույլտվության համար ՝ </w:t>
      </w:r>
    </w:p>
    <w:p w:rsidR="00E22FEA" w:rsidRPr="00EF544B" w:rsidRDefault="00E22FEA" w:rsidP="00E22FEA">
      <w:r w:rsidRPr="00EF544B">
        <w:t>375  /երեք հարյուր յոթանասուն հինգ/ Հայաստանի Հանրապետության դրամ,</w:t>
      </w:r>
    </w:p>
    <w:p w:rsidR="00E22FEA" w:rsidRPr="00EF544B" w:rsidRDefault="00E22FEA" w:rsidP="00E22FEA">
      <w:r w:rsidRPr="00EF544B">
        <w:t xml:space="preserve"> զ. եթե արտաքին գովազդ տարածող գովազդակիրը տեղաբաշխել և տարածել է իր կազմակերպության գովազդը՝ համայնքի վարչական տարածքում այլ արտաքին գովազդ տեղադրելու թույլտվության համար ՝ </w:t>
      </w:r>
    </w:p>
    <w:p w:rsidR="00E22FEA" w:rsidRPr="00EF544B" w:rsidRDefault="00E22FEA" w:rsidP="00E22FEA">
      <w:r w:rsidRPr="00EF544B">
        <w:t>150 /մեկ հարյուր հիսուն/  Հայաստանի Հանրապետության դրամ,</w:t>
      </w:r>
    </w:p>
    <w:p w:rsidR="00E22FEA" w:rsidRPr="00EF544B" w:rsidRDefault="00E22FEA" w:rsidP="00E22FEA">
      <w:r w:rsidRPr="00EF544B">
        <w:t xml:space="preserve"> 12) Հայաստանի Հանրապետության համայնքների խորհրդանիշերը (զինանշան, անվանում և այլն), որպես օրենքով գրանցված ապրանքային նշան, ապրանքների արտադրության, աշխատանքների կատարման, ծառայությունների մատուցման գործընթացներում օգտագործելու, ինչպես նաև ֆիրմային անվանումներում օգտագործելու թույլտվության համար՝ օրացուցային տարվա համար` </w:t>
      </w:r>
    </w:p>
    <w:p w:rsidR="00E22FEA" w:rsidRPr="00EF544B" w:rsidRDefault="00E22FEA" w:rsidP="00E22FEA">
      <w:r w:rsidRPr="00EF544B">
        <w:t>100 000 /մեկ հարյուր հազար/ Հայաստանի Հանրապետության դրամ,</w:t>
      </w:r>
    </w:p>
    <w:p w:rsidR="00E22FEA" w:rsidRPr="00EF544B" w:rsidRDefault="00E22FEA" w:rsidP="00E22FEA">
      <w:r w:rsidRPr="00EF544B">
        <w:t> 13) համայնքի վարչական տարածքում մարդատար-տաքսու (բացառությամբ երթուղային տաքսիների՝ միկրոավտոբուսների) ծառայություն իրականացնելու թույլտվության համար՝ օրացուցային տարում յուրաքանչյուր մեքենայի համար`</w:t>
      </w:r>
    </w:p>
    <w:p w:rsidR="00E22FEA" w:rsidRPr="00EF544B" w:rsidRDefault="00E22FEA" w:rsidP="00E22FEA">
      <w:r w:rsidRPr="00EF544B">
        <w:t>10 000 /տասը հազար / Հայաստանի Հանրապետության դրամ.</w:t>
      </w:r>
    </w:p>
    <w:p w:rsidR="00E22FEA" w:rsidRPr="00EF544B" w:rsidRDefault="00E22FEA" w:rsidP="00E22FEA">
      <w:r w:rsidRPr="00EF544B">
        <w:t xml:space="preserve"> 14) համայնքի վարչական տարածքում քաղաքացիական հոգեհանգստի (հրաժեշտի) ծիսակատարության ծառայությունների իրականացման և (կամ) մատուցման թույլտվության համար՝ օրացուցային տարվա համար` </w:t>
      </w:r>
    </w:p>
    <w:p w:rsidR="00E22FEA" w:rsidRPr="00EF544B" w:rsidRDefault="00E22FEA" w:rsidP="00E22FEA">
      <w:r w:rsidRPr="00EF544B">
        <w:t>500 000 /հինգ հարյուր հազար/ Հայաստանի Հանրապետության դրամ.</w:t>
      </w:r>
    </w:p>
    <w:p w:rsidR="00E22FEA" w:rsidRPr="00EF544B" w:rsidRDefault="00E22FEA" w:rsidP="00E22FEA">
      <w:r w:rsidRPr="00EF544B">
        <w:t> 15) համայնքի վարչական տարածքում մասնավոր գերեզմանատան կազմակերպման և շահագործման թույլտվության համար՝ օրացուցային տարվա համար՝</w:t>
      </w:r>
    </w:p>
    <w:p w:rsidR="00E22FEA" w:rsidRPr="00EF544B" w:rsidRDefault="00E22FEA" w:rsidP="00E22FEA">
      <w:r w:rsidRPr="00EF544B">
        <w:t xml:space="preserve"> ա. 3 հա-ից մինչև 5 հա մակերես ունեցող գերեզմանատների համար՝ </w:t>
      </w:r>
    </w:p>
    <w:p w:rsidR="00E22FEA" w:rsidRPr="00EF544B" w:rsidRDefault="00E22FEA" w:rsidP="00E22FEA">
      <w:r w:rsidRPr="00EF544B">
        <w:lastRenderedPageBreak/>
        <w:t>2 500 000 /երկու միլիոն հինգ հարյուր հազար/ Հայաստանի Հանրապետության դրամ,</w:t>
      </w:r>
    </w:p>
    <w:p w:rsidR="00E22FEA" w:rsidRPr="00EF544B" w:rsidRDefault="00E22FEA" w:rsidP="00E22FEA">
      <w:r w:rsidRPr="00EF544B">
        <w:t> բ. 5 հա-ից մինչև 7 հա մակերես ունեցող գերեզմանատների համար՝</w:t>
      </w:r>
    </w:p>
    <w:p w:rsidR="00E22FEA" w:rsidRPr="00EF544B" w:rsidRDefault="00E22FEA" w:rsidP="00E22FEA">
      <w:r w:rsidRPr="00EF544B">
        <w:t>5 000 000 /հինգ միլիոն/ Հայաստանի Հանրապետության դրամ,</w:t>
      </w:r>
    </w:p>
    <w:p w:rsidR="00E22FEA" w:rsidRPr="00EF544B" w:rsidRDefault="00E22FEA" w:rsidP="00E22FEA">
      <w:r w:rsidRPr="00EF544B">
        <w:t> գ. 7 հա-ից մինչև 10 հա մակերես ունեցող գերեզմանատների համար՝</w:t>
      </w:r>
    </w:p>
    <w:p w:rsidR="00E22FEA" w:rsidRPr="00EF544B" w:rsidRDefault="00E22FEA" w:rsidP="00E22FEA">
      <w:r w:rsidRPr="00EF544B">
        <w:t>7 000 000  /յոթ միլիոն/ Հայաստանի Հանրապետության դրամ,</w:t>
      </w:r>
    </w:p>
    <w:p w:rsidR="00E22FEA" w:rsidRPr="00EF544B" w:rsidRDefault="00E22FEA" w:rsidP="00E22FEA">
      <w:r w:rsidRPr="00EF544B">
        <w:t xml:space="preserve"> դ. 10 հա-ից ավել մակերես ունեցող գերեզմանատների համար՝ </w:t>
      </w:r>
    </w:p>
    <w:p w:rsidR="00E22FEA" w:rsidRPr="00EF544B" w:rsidRDefault="00E22FEA" w:rsidP="00E22FEA">
      <w:r w:rsidRPr="00EF544B">
        <w:t>10 000 000 /տասը միլիոն/ Հայաստանի Հանրապետության դրամ:</w:t>
      </w:r>
    </w:p>
    <w:p w:rsidR="00E22FEA" w:rsidRPr="00EF544B" w:rsidRDefault="00E22FEA" w:rsidP="00E22FEA">
      <w:r w:rsidRPr="00EF544B">
        <w:t>16.Համայնքի վարչական տարածքում տեխնիկական և հասարակական նշանակության հրավառություն իրականացնելու համար օրացուցային տարվա համար՝ </w:t>
      </w:r>
    </w:p>
    <w:p w:rsidR="00E22FEA" w:rsidRPr="00EF544B" w:rsidRDefault="00E22FEA" w:rsidP="00E22FEA">
      <w:r w:rsidRPr="00EF544B">
        <w:t>200 000  /երկու հարյուր հազար/ Հայաստանի Հանրապետության դրամ:</w:t>
      </w:r>
    </w:p>
    <w:p w:rsidR="00E22FEA" w:rsidRPr="00EF544B" w:rsidRDefault="00E22FEA" w:rsidP="00E22FEA">
      <w:r w:rsidRPr="00EF544B">
        <w:t> 2.Սույն որոշման 1-ին մասի 4-16-րդ կետերի դրույքաչափերին  կիրառել 0.5 գործակից:</w:t>
      </w:r>
    </w:p>
    <w:p w:rsidR="00E22FEA" w:rsidRPr="00EF544B" w:rsidRDefault="00E22FEA" w:rsidP="00E22FEA">
      <w:r w:rsidRPr="00EF544B">
        <w:t> 3.Սահմանել Հայաստանի Հանրապետության Արարատի մարզի Մասիս քաղաքային համայնքի 2019 թվականի տեղական վճարների տեսակներն ու դրույքաչափերը.</w:t>
      </w:r>
    </w:p>
    <w:p w:rsidR="00E22FEA" w:rsidRPr="00EF544B" w:rsidRDefault="00E22FEA" w:rsidP="00E22FEA">
      <w:r w:rsidRPr="00EF544B">
        <w:t xml:space="preserve"> 1) համայնքի տարածքում շենքի կամ շինության արտաքին տեսքը փոփոխող վերակառուցման աշխատանքներ կատարելու հետ կապված տեխնիկատնտեսական պայմաններ մշակելու և հաստատելու համար՝ համայնքի մատուցած ծառայությունների դիմաց փոխհատուցման վճար՝ </w:t>
      </w:r>
    </w:p>
    <w:p w:rsidR="00E22FEA" w:rsidRPr="00EF544B" w:rsidRDefault="00E22FEA" w:rsidP="00E22FEA">
      <w:r w:rsidRPr="00EF544B">
        <w:t>5 000 /հինգ հազար/ Հայաստանի Հանրապետության դրամ.</w:t>
      </w:r>
    </w:p>
    <w:p w:rsidR="00E22FEA" w:rsidRPr="00EF544B" w:rsidRDefault="00E22FEA" w:rsidP="00E22FEA">
      <w:r w:rsidRPr="00EF544B">
        <w:t> 2) ճարտարապետաշինարարական նախագծային փաստաթղթերով նախատեսված շինարարության թույլտվություն պահանջող, բոլոր շինարարական աշխատանքներն իրականացնելուց հետո շենքերի և շինությունների (այդ թվում` դրանց վերակառուցումը, վերականգնումը, ուժեղացումը, արդիականացումը, ընդլայնումն ու բարեկարգումը) կառուցման ավարտը ավարտական ակտով փաստագրման ձևակերպման համար՝ համայնքի մատուցած ծառայությունների դիմաց փոխհատուցման վճար՝</w:t>
      </w:r>
    </w:p>
    <w:p w:rsidR="00E22FEA" w:rsidRPr="00EF544B" w:rsidRDefault="00E22FEA" w:rsidP="00E22FEA">
      <w:r w:rsidRPr="00EF544B">
        <w:t>10 000 /տասը հազար/ Հայաստանի Հանրապետության դրամ,</w:t>
      </w:r>
    </w:p>
    <w:p w:rsidR="00E22FEA" w:rsidRPr="00EF544B" w:rsidRDefault="00E22FEA" w:rsidP="00E22FEA">
      <w:r w:rsidRPr="00EF544B">
        <w:t xml:space="preserve"> 3) ճարտարապետաշինարարական նախագծային փաստաթղթերով նախատեսված աշխատանքներն ավարտելուց հետո շահագործման թույլտվության ձևակերպման համար՝ համայնքի մատուցած ծառայությունների դիմաց փոխհատուցման վճար՝ </w:t>
      </w:r>
    </w:p>
    <w:p w:rsidR="00E22FEA" w:rsidRPr="00EF544B" w:rsidRDefault="00E22FEA" w:rsidP="00E22FEA">
      <w:r w:rsidRPr="00EF544B">
        <w:t>10 000 /տասը հազար/ Հայաստանի Հանրապետության դրամ.</w:t>
      </w:r>
    </w:p>
    <w:p w:rsidR="00E22FEA" w:rsidRPr="00EF544B" w:rsidRDefault="00E22FEA" w:rsidP="00E22FEA">
      <w:r w:rsidRPr="00EF544B">
        <w:t xml:space="preserve"> 4) համայնքի կողմից կազմակերպվող մրցույթների և աճուրդների մասնակցության համար՝ համայնքի մատուցած ծառայությունների դիմաց փոխհատուցման վճար՝ </w:t>
      </w:r>
    </w:p>
    <w:p w:rsidR="00E22FEA" w:rsidRPr="00EF544B" w:rsidRDefault="00E22FEA" w:rsidP="00E22FEA">
      <w:r w:rsidRPr="00EF544B">
        <w:t>10 000 /տասը հազար/ Հայաստանի Հանրապետության դրամ,</w:t>
      </w:r>
    </w:p>
    <w:p w:rsidR="00E22FEA" w:rsidRPr="00EF544B" w:rsidRDefault="00E22FEA" w:rsidP="00E22FEA">
      <w:r w:rsidRPr="00EF544B">
        <w:t>5)  համայնքի սեփականություն հանդիսացող մեկ հենասյունի օգտագործման /բնակչությանն ինտերնետ և այլ կապով ապահովելու նպատակով մալուխ անցկացնելու համար/ ամսական վճար՝ </w:t>
      </w:r>
    </w:p>
    <w:p w:rsidR="00E22FEA" w:rsidRPr="00EF544B" w:rsidRDefault="00E22FEA" w:rsidP="00E22FEA">
      <w:r w:rsidRPr="00EF544B">
        <w:t>150  / մեկ հարյուր հիսուն/ Հայաստանի Հանրապետության դրամ,</w:t>
      </w:r>
    </w:p>
    <w:p w:rsidR="00E22FEA" w:rsidRPr="00EF544B" w:rsidRDefault="00E22FEA" w:rsidP="00E22FEA">
      <w:r w:rsidRPr="00EF544B">
        <w:t>6)  Մասիս քաղաքային համայնքի վարչական տարածքում աղբահանության դրուքաչափերը սահմանել՝</w:t>
      </w:r>
    </w:p>
    <w:p w:rsidR="00E22FEA" w:rsidRPr="00EF544B" w:rsidRDefault="00E22FEA" w:rsidP="00E22FEA">
      <w:r w:rsidRPr="00EF544B">
        <w:t> 6).1. Բնակելի նպատակային նշանակության շենքերում և (կամ) շինություններում կոշտ կենցաղային թափոնների համար՝</w:t>
      </w:r>
    </w:p>
    <w:p w:rsidR="00E22FEA" w:rsidRPr="00EF544B" w:rsidRDefault="00E22FEA" w:rsidP="00E22FEA">
      <w:r w:rsidRPr="00EF544B">
        <w:t xml:space="preserve">ա) ըստ հաշվառված անձանց քանակի՝ համայնքում անձնագրային հաշվառման կանոններով ըստ հասցեի հաշվառում ունեցող և (կամ) բնակվող յուրաքանչյուր բնակչի համար՝ ամսական </w:t>
      </w:r>
    </w:p>
    <w:p w:rsidR="00E22FEA" w:rsidRPr="00EF544B" w:rsidRDefault="00E22FEA" w:rsidP="00E22FEA">
      <w:r w:rsidRPr="00EF544B">
        <w:t>180 /մեկ հարյուր ութսուն/ Հայաստանի Հանրապետության դրամ:</w:t>
      </w:r>
    </w:p>
    <w:p w:rsidR="00E22FEA" w:rsidRPr="00EF544B" w:rsidRDefault="00E22FEA" w:rsidP="00E22FEA">
      <w:r w:rsidRPr="00EF544B">
        <w:lastRenderedPageBreak/>
        <w:t> </w:t>
      </w:r>
    </w:p>
    <w:p w:rsidR="00E22FEA" w:rsidRPr="00EF544B" w:rsidRDefault="00E22FEA" w:rsidP="00E22FEA">
      <w:r w:rsidRPr="00EF544B">
        <w:t>6).2. Ոչ բնակելի նպատակային նշանակության շենքերում և (կամ) շինություններում, այդ թվում` հասարակական և արտադրական շենքերում և (կամ) շինություններում աղբահանության վճարը սահմանել ըստ շինության ընդհանուր մակերեսի հետևյալ դրույքաչափերով.</w:t>
      </w:r>
    </w:p>
    <w:p w:rsidR="00E22FEA" w:rsidRPr="00EF544B" w:rsidRDefault="00E22FEA" w:rsidP="00E22FEA">
      <w:r w:rsidRPr="00EF544B">
        <w:t> </w:t>
      </w:r>
    </w:p>
    <w:p w:rsidR="00E22FEA" w:rsidRPr="00EF544B" w:rsidRDefault="00E22FEA" w:rsidP="00E22FEA">
      <w:r w:rsidRPr="00EF544B">
        <w:t xml:space="preserve">ա) առևտրի (այդ թվում` շուկաների), հանրային սննդի և բնակչության սպասարկման այլ ծառայություններ իրականացնող շինությունների մասով մեկ քառակուսի մետր մակերեսի համար՝ </w:t>
      </w:r>
    </w:p>
    <w:p w:rsidR="00E22FEA" w:rsidRPr="00EF544B" w:rsidRDefault="00E22FEA" w:rsidP="00E22FEA">
      <w:r w:rsidRPr="00EF544B">
        <w:t>50 /հիսուն/ Հայաստանի Հանրապետության դրամ.</w:t>
      </w:r>
    </w:p>
    <w:p w:rsidR="00E22FEA" w:rsidRPr="00EF544B" w:rsidRDefault="00E22FEA" w:rsidP="00E22FEA">
      <w:r w:rsidRPr="00EF544B">
        <w:t> </w:t>
      </w:r>
    </w:p>
    <w:p w:rsidR="00E22FEA" w:rsidRPr="00EF544B" w:rsidRDefault="00E22FEA" w:rsidP="00E22FEA">
      <w:r w:rsidRPr="00EF544B">
        <w:t xml:space="preserve">բ) հյուրանոցների և հյուրանոցային տնտեսության ծառայություններ, ինչպես նաև այլ գործունեություն իրականացնող հասարակական շինությունների մասով` մեկ քառակուսի մետր մակերեսի համար </w:t>
      </w:r>
    </w:p>
    <w:p w:rsidR="00E22FEA" w:rsidRPr="00EF544B" w:rsidRDefault="00E22FEA" w:rsidP="00E22FEA">
      <w:r w:rsidRPr="00EF544B">
        <w:t>35 /երեսունհինգ/ Հայաստանի Հանրապետության դրամ.</w:t>
      </w:r>
    </w:p>
    <w:p w:rsidR="00E22FEA" w:rsidRPr="00EF544B" w:rsidRDefault="00E22FEA" w:rsidP="00E22FEA">
      <w:r w:rsidRPr="00EF544B">
        <w:t> </w:t>
      </w:r>
    </w:p>
    <w:p w:rsidR="00E22FEA" w:rsidRPr="00EF544B" w:rsidRDefault="00E22FEA" w:rsidP="00E22FEA">
      <w:r w:rsidRPr="00EF544B">
        <w:t>գ) արտադրական, արդյունաբերական և գրասենյակային նշանակության շինությունների մասով` մեկ քառակուսի մետր մակերեսի համար`</w:t>
      </w:r>
    </w:p>
    <w:p w:rsidR="00E22FEA" w:rsidRPr="00EF544B" w:rsidRDefault="00E22FEA" w:rsidP="00E22FEA">
      <w:r w:rsidRPr="00EF544B">
        <w:t>6 /վեց/ Հայաստանի Հանրապետության դրամ.</w:t>
      </w:r>
    </w:p>
    <w:p w:rsidR="00E22FEA" w:rsidRPr="00EF544B" w:rsidRDefault="00E22FEA" w:rsidP="00E22FEA">
      <w:r w:rsidRPr="00EF544B">
        <w:t> </w:t>
      </w:r>
    </w:p>
    <w:p w:rsidR="00E22FEA" w:rsidRPr="00EF544B" w:rsidRDefault="00E22FEA" w:rsidP="00E22FEA">
      <w:r w:rsidRPr="00EF544B">
        <w:t>դ) կրթական, մշակութային, առողջապահական, սպորտային, գիտահետազոտական և նմանատիպ այլ հասարակական շինությունների մասով` մեկ քառակուսի մետր մակերեսի համար՝</w:t>
      </w:r>
    </w:p>
    <w:p w:rsidR="00E22FEA" w:rsidRPr="00EF544B" w:rsidRDefault="00E22FEA" w:rsidP="00E22FEA">
      <w:r w:rsidRPr="00EF544B">
        <w:t>3 /երեք/ Հայաստանի Հանրապետության դրամ.</w:t>
      </w:r>
    </w:p>
    <w:p w:rsidR="00E22FEA" w:rsidRPr="00EF544B" w:rsidRDefault="00E22FEA" w:rsidP="00E22FEA">
      <w:r w:rsidRPr="00EF544B">
        <w:t> </w:t>
      </w:r>
    </w:p>
    <w:p w:rsidR="00E22FEA" w:rsidRPr="00EF544B" w:rsidRDefault="00E22FEA" w:rsidP="00E22FEA">
      <w:r w:rsidRPr="00EF544B">
        <w:t>ե) շինություններում, որտեղ իրականացվում է մեկից ավելի առանձնացված տնտեսական գործունեություն՝</w:t>
      </w:r>
    </w:p>
    <w:p w:rsidR="00E22FEA" w:rsidRPr="00EF544B" w:rsidRDefault="00E22FEA" w:rsidP="00E22FEA">
      <w:r w:rsidRPr="00EF544B">
        <w:t>50 /հիսուն/ Հայաստանի Հանրապետության դրամ:</w:t>
      </w:r>
    </w:p>
    <w:p w:rsidR="00E22FEA" w:rsidRPr="00EF544B" w:rsidRDefault="00E22FEA" w:rsidP="00E22FEA">
      <w:r w:rsidRPr="00EF544B">
        <w:t> </w:t>
      </w:r>
    </w:p>
    <w:p w:rsidR="00E22FEA" w:rsidRPr="00EF544B" w:rsidRDefault="00E22FEA" w:rsidP="00E22FEA">
      <w:r w:rsidRPr="00EF544B">
        <w:t>6).3. Ոչ կենցաղային աղբի համար աղբահանության վճարը սահմանվում է`</w:t>
      </w:r>
    </w:p>
    <w:p w:rsidR="00E22FEA" w:rsidRPr="00EF544B" w:rsidRDefault="00E22FEA" w:rsidP="00E22FEA">
      <w:r w:rsidRPr="00EF544B">
        <w:t> </w:t>
      </w:r>
    </w:p>
    <w:p w:rsidR="00E22FEA" w:rsidRPr="00EF544B" w:rsidRDefault="00E22FEA" w:rsidP="00E22FEA">
      <w:r w:rsidRPr="00EF544B">
        <w:t xml:space="preserve">ա) ըստ ծավալի՝ մեկ խորանարդ մետր աղբի համար՝ </w:t>
      </w:r>
    </w:p>
    <w:p w:rsidR="00E22FEA" w:rsidRPr="00EF544B" w:rsidRDefault="00E22FEA" w:rsidP="00E22FEA">
      <w:r w:rsidRPr="00EF544B">
        <w:t>3000 /երեք հազար/ Հայաստանի Հանրապետության դրամ, կամ</w:t>
      </w:r>
    </w:p>
    <w:p w:rsidR="00E22FEA" w:rsidRPr="00EF544B" w:rsidRDefault="00E22FEA" w:rsidP="00E22FEA">
      <w:r w:rsidRPr="00EF544B">
        <w:t> </w:t>
      </w:r>
    </w:p>
    <w:p w:rsidR="00E22FEA" w:rsidRPr="00EF544B" w:rsidRDefault="00E22FEA" w:rsidP="00E22FEA">
      <w:r w:rsidRPr="00EF544B">
        <w:t>բ) ըստ զանգվածի՝ մեկ տոննա աղբի համար՝</w:t>
      </w:r>
    </w:p>
    <w:p w:rsidR="00E22FEA" w:rsidRPr="00EF544B" w:rsidRDefault="00E22FEA" w:rsidP="00E22FEA">
      <w:r w:rsidRPr="00EF544B">
        <w:t>10000 /տասը հազար/ Հայաստանի Հանրապետության դրամ: </w:t>
      </w:r>
    </w:p>
    <w:p w:rsidR="00E22FEA" w:rsidRPr="00EF544B" w:rsidRDefault="00E22FEA" w:rsidP="00E22FEA">
      <w:r w:rsidRPr="00EF544B">
        <w:t> </w:t>
      </w:r>
    </w:p>
    <w:p w:rsidR="00E22FEA" w:rsidRPr="00EF544B" w:rsidRDefault="00E22FEA" w:rsidP="00E22FEA">
      <w:r w:rsidRPr="00EF544B">
        <w:t xml:space="preserve">6).4. Համայնքի կողմից իրավաբանական անձանց կամ անհատ ձեռնարկատերերին շինարարական և խոշոր եզրաչափի աղբի հավաքման և փոխադրման, ինչպես նաև աղբահանության վճար վճարողներին շինարարական և խոշոր եզրաչափի աղբի ինքնուրույն հավաքման և փոխադրման թույլտվության համար՝ </w:t>
      </w:r>
    </w:p>
    <w:p w:rsidR="00E22FEA" w:rsidRPr="00EF544B" w:rsidRDefault="00E22FEA" w:rsidP="00E22FEA">
      <w:r w:rsidRPr="00EF544B">
        <w:lastRenderedPageBreak/>
        <w:t>10000 /տասը հազար/ Հայաստանի Հանրապետության դրամ:</w:t>
      </w:r>
    </w:p>
    <w:p w:rsidR="00E22FEA" w:rsidRPr="00EF544B" w:rsidRDefault="00E22FEA" w:rsidP="00E22FEA">
      <w:r w:rsidRPr="00EF544B">
        <w:t>   7)Համայնքային ենթակայության մանկապարտեզների, արտադպրոցական դաստիարակության հաստատությունների /երաժշտական,նկարչական և արվեստի դպրոցներ/ ծառայություններից օգտվող՝ համայնքի բնակիչ հանդիսացող 1 երեխայի համար փոխհատուցման վճար.</w:t>
      </w:r>
    </w:p>
    <w:p w:rsidR="00E22FEA" w:rsidRPr="00EF544B" w:rsidRDefault="00E22FEA" w:rsidP="00E22FEA">
      <w:r w:rsidRPr="00EF544B">
        <w:t xml:space="preserve">       ա/Մանկապարտեզ հաճախող երեխաների համար՝ օրական </w:t>
      </w:r>
    </w:p>
    <w:p w:rsidR="00E22FEA" w:rsidRPr="00EF544B" w:rsidRDefault="00E22FEA" w:rsidP="00E22FEA">
      <w:r w:rsidRPr="00EF544B">
        <w:t xml:space="preserve">350 /երեք հարյուր հիսուն/ Հայաստանի Հանրապետության դրամ </w:t>
      </w:r>
    </w:p>
    <w:p w:rsidR="00E22FEA" w:rsidRPr="00EF544B" w:rsidRDefault="00E22FEA" w:rsidP="00E22FEA">
      <w:r w:rsidRPr="00EF544B">
        <w:t>       բ/ Երաժշտական դպրոց հաճախող երեխանների համար՝ ամսական  </w:t>
      </w:r>
    </w:p>
    <w:p w:rsidR="00E22FEA" w:rsidRPr="00EF544B" w:rsidRDefault="00E22FEA" w:rsidP="00E22FEA">
      <w:r w:rsidRPr="00EF544B">
        <w:t>5000/ հինգ հազար / Հայաստանի Հանրապետության դրամ</w:t>
      </w:r>
    </w:p>
    <w:p w:rsidR="00E22FEA" w:rsidRPr="00EF544B" w:rsidRDefault="00E22FEA" w:rsidP="00E22FEA">
      <w:r w:rsidRPr="00EF544B">
        <w:t xml:space="preserve">       գ/ Գեղարվեստի դպրոց հաճախող երեխաների համար ՝ ամսական </w:t>
      </w:r>
    </w:p>
    <w:p w:rsidR="00E22FEA" w:rsidRPr="00EF544B" w:rsidRDefault="00E22FEA" w:rsidP="00E22FEA">
      <w:r w:rsidRPr="00EF544B">
        <w:t xml:space="preserve">4500/ չորս հազար հինգ հարյուր / Հայաստանի Հանրապետության դրամ </w:t>
      </w:r>
    </w:p>
    <w:p w:rsidR="00E22FEA" w:rsidRPr="00EF544B" w:rsidRDefault="00E22FEA" w:rsidP="00E22FEA">
      <w:r w:rsidRPr="00EF544B">
        <w:t>      7).1. Սահմանել արտոնություններ .</w:t>
      </w:r>
    </w:p>
    <w:p w:rsidR="00E22FEA" w:rsidRPr="00EF544B" w:rsidRDefault="00E22FEA" w:rsidP="00E22FEA">
      <w:r w:rsidRPr="00EF544B">
        <w:t>     -Երաժշտական , գեղարվեստի դպրոցներ և մանկապարտեզ հաճախող համայնքի միակողմանի ծնողազուրկ երախանների, 4 և ավել  անչափահաս  երեխաներ  ունեցող ընտանիքներից հաճախող երեխաների, ինչպես նաև միևնույն ընտանիքից 3 և ավելի հաճախող երեխաներից երկուսի ծնողական վճարը սահմանել փոխհատուցման վճարի 50%-ի չափով.</w:t>
      </w:r>
    </w:p>
    <w:p w:rsidR="00E22FEA" w:rsidRPr="00EF544B" w:rsidRDefault="00E22FEA" w:rsidP="00E22FEA">
      <w:r w:rsidRPr="00EF544B">
        <w:t>      - Զոհված զինծառայողների /ինչպես նաև նրանց հավասարեցված/ ընտանիքների երեխաների, երկկողմանի ծնողազուրկ երեխաների համար ծառայությունը սահմանել անվճար: </w:t>
      </w:r>
    </w:p>
    <w:p w:rsidR="00E22FEA" w:rsidRPr="00EF544B" w:rsidRDefault="00E22FEA" w:rsidP="00E22FEA">
      <w:r w:rsidRPr="00EF544B">
        <w:t> 8) Մասիս քաղաքային համայնքի սեփականություն հանդիսացող ներքոնշյալ ոչ բնակելի տարածքները վարձակալության տրամադրել հետևյալ դրույքաչափերով .</w:t>
      </w:r>
    </w:p>
    <w:p w:rsidR="00E22FEA" w:rsidRPr="00EF544B" w:rsidRDefault="00E22FEA" w:rsidP="00E22FEA">
      <w:r w:rsidRPr="00EF544B">
        <w:t xml:space="preserve">ա/Մասիս քաղաքի Երիտասարդական փողոցի 1-ին նրբանցքի թիվ 11 հասցեում գտնվող  մարզադաշտը մարզական միջոցառումներ կազմակերպելու նպատակով  վարձակալելու  համար՝  օրական </w:t>
      </w:r>
    </w:p>
    <w:p w:rsidR="00E22FEA" w:rsidRPr="00EF544B" w:rsidRDefault="00E22FEA" w:rsidP="00E22FEA">
      <w:r w:rsidRPr="00EF544B">
        <w:t>4600 /չորս հազար վեց հարյուր/ Հայաստանի Հանրապետության դրամ: </w:t>
      </w:r>
    </w:p>
    <w:p w:rsidR="00E22FEA" w:rsidRPr="00EF544B" w:rsidRDefault="00E22FEA" w:rsidP="00E22FEA">
      <w:r w:rsidRPr="00EF544B">
        <w:t> բ/ Վարձակալության ժամավճար սահմանել ՝ </w:t>
      </w:r>
    </w:p>
    <w:p w:rsidR="00E22FEA" w:rsidRPr="00EF544B" w:rsidRDefault="00E22FEA" w:rsidP="00E22FEA">
      <w:r w:rsidRPr="00EF544B">
        <w:t xml:space="preserve">      -ՀՀ Արարատի մարզի Մասիս քաղաքային համայնքի ,, Առնո Բաբաջանյանի անվան երաժշտական դպրոց,,  համայնքային ոչ առևտրային կազմակերպության դահլիճը ՝ </w:t>
      </w:r>
    </w:p>
    <w:p w:rsidR="00E22FEA" w:rsidRPr="00EF544B" w:rsidRDefault="00E22FEA" w:rsidP="00E22FEA">
      <w:r w:rsidRPr="00EF544B">
        <w:t xml:space="preserve">մինչև 2 ժամը </w:t>
      </w:r>
    </w:p>
    <w:p w:rsidR="00E22FEA" w:rsidRPr="00EF544B" w:rsidRDefault="00E22FEA" w:rsidP="00E22FEA">
      <w:r w:rsidRPr="00EF544B">
        <w:t xml:space="preserve">25 000 /քսանհինգ հազար / Հայաստանի Հանրապետության դրամ, </w:t>
      </w:r>
    </w:p>
    <w:p w:rsidR="00E22FEA" w:rsidRPr="00EF544B" w:rsidRDefault="00E22FEA" w:rsidP="00E22FEA">
      <w:r w:rsidRPr="00EF544B">
        <w:t xml:space="preserve">2 ժամից մինչև 5 ժամը </w:t>
      </w:r>
    </w:p>
    <w:p w:rsidR="00E22FEA" w:rsidRPr="00EF544B" w:rsidRDefault="00E22FEA" w:rsidP="00E22FEA">
      <w:r w:rsidRPr="00EF544B">
        <w:t>50 000 /հիսուն հազար/ Հայաստանի Հանրապետության դրամ  </w:t>
      </w:r>
    </w:p>
    <w:p w:rsidR="00E22FEA" w:rsidRPr="00EF544B" w:rsidRDefault="00E22FEA" w:rsidP="00E22FEA">
      <w:r w:rsidRPr="00EF544B">
        <w:t xml:space="preserve">      -ՀՀ Արարատի մարզի Մասիս քաղաքային համայնքի,,Առնո Բաբաջանյանի անվան երաժշտական դպրոց,,  համայնքային ոչ առևտրային կազմակերպության   փոքր դահլիճը՝1 ժամը </w:t>
      </w:r>
    </w:p>
    <w:p w:rsidR="00E22FEA" w:rsidRPr="00EF544B" w:rsidRDefault="00E22FEA" w:rsidP="00E22FEA">
      <w:r w:rsidRPr="00EF544B">
        <w:t>500 /հինգ հարյուր / Հայաստանի Հանրապետության դրամ </w:t>
      </w:r>
    </w:p>
    <w:p w:rsidR="00E22FEA" w:rsidRPr="00EF544B" w:rsidRDefault="00E22FEA" w:rsidP="00E22FEA">
      <w:r w:rsidRPr="00EF544B">
        <w:t xml:space="preserve">      -ՀՀ Արարատի մարզի Մասիս քաղաքային համայնքի ,,Արմեն Նազարյանի անվան մանկապատանեկան մարզադպրոց,, համայնքային ոչ առևտրային կազմակերպության    սպորտային դահլիճը ՙ մինչև 2 ժամը </w:t>
      </w:r>
    </w:p>
    <w:p w:rsidR="00E22FEA" w:rsidRPr="00EF544B" w:rsidRDefault="00E22FEA" w:rsidP="00E22FEA">
      <w:r w:rsidRPr="00EF544B">
        <w:t>10 000 /տասը հազար / Հայաստանի Հանրապետության դրամ ,</w:t>
      </w:r>
    </w:p>
    <w:p w:rsidR="00E22FEA" w:rsidRPr="00EF544B" w:rsidRDefault="00E22FEA" w:rsidP="00E22FEA">
      <w:r w:rsidRPr="00EF544B">
        <w:t>2 ժամից մինչև 5 ժամը 40 000 /քառասուն հազար / Հայաստանի Հանրապետության դրամ </w:t>
      </w:r>
    </w:p>
    <w:p w:rsidR="00E22FEA" w:rsidRPr="00EF544B" w:rsidRDefault="00E22FEA" w:rsidP="00E22FEA">
      <w:r w:rsidRPr="00EF544B">
        <w:t xml:space="preserve">       -ՀՀ Արարատի մարզի Մասիս քաղաքային համայնքի քաղաքապետարանի վարչական շենքի  3-րդ հարկի դահլիճը ՚ մինչև 2 ժամը </w:t>
      </w:r>
    </w:p>
    <w:p w:rsidR="00E22FEA" w:rsidRPr="00EF544B" w:rsidRDefault="00E22FEA" w:rsidP="00E22FEA">
      <w:r w:rsidRPr="00EF544B">
        <w:lastRenderedPageBreak/>
        <w:t xml:space="preserve">15 000 /տասնհինգ հազար/ Հայաստանի Հանրապետության դրամ, </w:t>
      </w:r>
    </w:p>
    <w:p w:rsidR="00E22FEA" w:rsidRPr="00EF544B" w:rsidRDefault="00E22FEA" w:rsidP="00E22FEA">
      <w:r w:rsidRPr="00EF544B">
        <w:t>2 ժամից մինչև 5 ժամը  30 000  /երեսուն հազար/ Հայաստանի Հանրապետության դրամ :</w:t>
      </w:r>
    </w:p>
    <w:p w:rsidR="00E22FEA" w:rsidRPr="00EF544B" w:rsidRDefault="00E22FEA" w:rsidP="00E22FEA">
      <w:r w:rsidRPr="00EF544B">
        <w:t>     բ/ 1. Ժամավճար չգանձել սոցիալական, բարեգործական նպատակներով իրականացվող  միջոցառումների համար :</w:t>
      </w:r>
    </w:p>
    <w:p w:rsidR="00E22FEA" w:rsidRPr="00EF544B" w:rsidRDefault="00E22FEA" w:rsidP="00E22FEA">
      <w:r w:rsidRPr="00EF544B">
        <w:t> 9) Համայնքի տարածքում վճարովի անասնաբուժական ծառայությունների  ցանկը և դրուքաչափերը.  </w:t>
      </w:r>
    </w:p>
    <w:p w:rsidR="00E22FEA" w:rsidRPr="00EF544B" w:rsidRDefault="00E22FEA" w:rsidP="00E22FEA">
      <w:r w:rsidRPr="00EF544B">
        <w:t>         </w:t>
      </w:r>
    </w:p>
    <w:p w:rsidR="00E22FEA" w:rsidRPr="00EF544B" w:rsidRDefault="00E22FEA" w:rsidP="00E22FEA">
      <w:r w:rsidRPr="00EF544B">
        <w:t>         </w:t>
      </w:r>
    </w:p>
    <w:tbl>
      <w:tblPr>
        <w:tblW w:w="0" w:type="auto"/>
        <w:tblBorders>
          <w:top w:val="single" w:sz="2" w:space="0" w:color="C9C9C9" w:themeColor="accent3" w:themeTint="99"/>
          <w:left w:val="single" w:sz="2" w:space="0" w:color="C9C9C9" w:themeColor="accent3" w:themeTint="99"/>
          <w:bottom w:val="single" w:sz="2" w:space="0" w:color="C9C9C9" w:themeColor="accent3" w:themeTint="99"/>
          <w:right w:val="single" w:sz="2" w:space="0" w:color="C9C9C9" w:themeColor="accent3" w:themeTint="99"/>
        </w:tblBorders>
        <w:tblLook w:val="04A0" w:firstRow="1" w:lastRow="0" w:firstColumn="1" w:lastColumn="0" w:noHBand="0" w:noVBand="1"/>
      </w:tblPr>
      <w:tblGrid>
        <w:gridCol w:w="675"/>
        <w:gridCol w:w="5666"/>
        <w:gridCol w:w="2698"/>
      </w:tblGrid>
      <w:tr w:rsidR="00E22FEA" w:rsidRPr="00EF544B" w:rsidTr="00E22FEA">
        <w:trPr>
          <w:trHeight w:val="643"/>
        </w:trPr>
        <w:tc>
          <w:tcPr>
            <w:tcW w:w="675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  <w:shd w:val="clear" w:color="auto" w:fill="FFFFFF" w:themeFill="background1"/>
            <w:hideMark/>
          </w:tcPr>
          <w:p w:rsidR="00E22FEA" w:rsidRPr="00EF544B" w:rsidRDefault="00E22FEA" w:rsidP="00EF544B">
            <w:r w:rsidRPr="00EF544B">
              <w:t>հ/հ</w:t>
            </w:r>
          </w:p>
        </w:tc>
        <w:tc>
          <w:tcPr>
            <w:tcW w:w="5666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  <w:shd w:val="clear" w:color="auto" w:fill="FFFFFF" w:themeFill="background1"/>
            <w:vAlign w:val="center"/>
            <w:hideMark/>
          </w:tcPr>
          <w:p w:rsidR="00E22FEA" w:rsidRPr="00EF544B" w:rsidRDefault="00E22FEA" w:rsidP="00EF544B">
            <w:r w:rsidRPr="00EF544B">
              <w:t>Անասնաբուժական ծառայության անվանումը</w:t>
            </w:r>
          </w:p>
        </w:tc>
        <w:tc>
          <w:tcPr>
            <w:tcW w:w="2698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  <w:shd w:val="clear" w:color="auto" w:fill="FFFFFF" w:themeFill="background1"/>
            <w:vAlign w:val="center"/>
            <w:hideMark/>
          </w:tcPr>
          <w:p w:rsidR="00E22FEA" w:rsidRPr="00EF544B" w:rsidRDefault="00E22FEA" w:rsidP="00EF544B">
            <w:r w:rsidRPr="00EF544B">
              <w:t>Մեկ միավորի գինը</w:t>
            </w:r>
          </w:p>
          <w:p w:rsidR="00E22FEA" w:rsidRPr="00EF544B" w:rsidRDefault="00E22FEA" w:rsidP="00EF544B">
            <w:r w:rsidRPr="00EF544B">
              <w:t xml:space="preserve"> /Հայաստանի Հանրապետության դրամ/</w:t>
            </w:r>
          </w:p>
        </w:tc>
      </w:tr>
      <w:tr w:rsidR="00E22FEA" w:rsidRPr="00EF544B" w:rsidTr="00E22FEA">
        <w:tc>
          <w:tcPr>
            <w:tcW w:w="675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  <w:shd w:val="clear" w:color="auto" w:fill="FFFFFF" w:themeFill="background1"/>
            <w:vAlign w:val="center"/>
            <w:hideMark/>
          </w:tcPr>
          <w:p w:rsidR="00E22FEA" w:rsidRPr="00EF544B" w:rsidRDefault="00E22FEA" w:rsidP="00EF544B">
            <w:r w:rsidRPr="00EF544B">
              <w:t>1</w:t>
            </w:r>
          </w:p>
        </w:tc>
        <w:tc>
          <w:tcPr>
            <w:tcW w:w="5666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  <w:shd w:val="clear" w:color="auto" w:fill="FFFFFF" w:themeFill="background1"/>
            <w:vAlign w:val="center"/>
            <w:hideMark/>
          </w:tcPr>
          <w:p w:rsidR="00E22FEA" w:rsidRPr="00EF544B" w:rsidRDefault="00E22FEA" w:rsidP="00EF544B">
            <w:r w:rsidRPr="00EF544B">
              <w:t>Կենդանիների հիվանդությունների բուժման, կանխարգելման հարցերով խորհրդատվություն</w:t>
            </w:r>
          </w:p>
        </w:tc>
        <w:tc>
          <w:tcPr>
            <w:tcW w:w="2698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  <w:shd w:val="clear" w:color="auto" w:fill="FFFFFF" w:themeFill="background1"/>
            <w:vAlign w:val="center"/>
            <w:hideMark/>
          </w:tcPr>
          <w:p w:rsidR="00E22FEA" w:rsidRPr="00EF544B" w:rsidRDefault="00E22FEA" w:rsidP="00EF544B">
            <w:r w:rsidRPr="00EF544B">
              <w:t>500</w:t>
            </w:r>
          </w:p>
        </w:tc>
      </w:tr>
      <w:tr w:rsidR="00E22FEA" w:rsidRPr="00EF544B" w:rsidTr="00E22FEA">
        <w:tc>
          <w:tcPr>
            <w:tcW w:w="675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  <w:shd w:val="clear" w:color="auto" w:fill="FFFFFF" w:themeFill="background1"/>
            <w:vAlign w:val="center"/>
            <w:hideMark/>
          </w:tcPr>
          <w:p w:rsidR="00E22FEA" w:rsidRPr="00EF544B" w:rsidRDefault="00E22FEA" w:rsidP="00EF544B">
            <w:r w:rsidRPr="00EF544B">
              <w:t>2</w:t>
            </w:r>
          </w:p>
        </w:tc>
        <w:tc>
          <w:tcPr>
            <w:tcW w:w="5666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  <w:shd w:val="clear" w:color="auto" w:fill="FFFFFF" w:themeFill="background1"/>
            <w:vAlign w:val="center"/>
            <w:hideMark/>
          </w:tcPr>
          <w:p w:rsidR="00E22FEA" w:rsidRPr="00EF544B" w:rsidRDefault="00E22FEA" w:rsidP="00EF544B">
            <w:r w:rsidRPr="00EF544B">
              <w:t>Ծննդօգնություն</w:t>
            </w:r>
          </w:p>
          <w:p w:rsidR="00E22FEA" w:rsidRPr="00EF544B" w:rsidRDefault="00E22FEA" w:rsidP="00EF544B">
            <w:r w:rsidRPr="00EF544B">
              <w:t>1. թեթև միջամտություն</w:t>
            </w:r>
          </w:p>
          <w:p w:rsidR="00E22FEA" w:rsidRPr="00EF544B" w:rsidRDefault="00E22FEA" w:rsidP="00EF544B">
            <w:r w:rsidRPr="00EF544B">
              <w:t>2. ծանր միջամտություն</w:t>
            </w:r>
          </w:p>
        </w:tc>
        <w:tc>
          <w:tcPr>
            <w:tcW w:w="2698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  <w:shd w:val="clear" w:color="auto" w:fill="FFFFFF" w:themeFill="background1"/>
            <w:vAlign w:val="center"/>
            <w:hideMark/>
          </w:tcPr>
          <w:p w:rsidR="00E22FEA" w:rsidRPr="00EF544B" w:rsidRDefault="00E22FEA" w:rsidP="00EF544B">
            <w:r w:rsidRPr="00EF544B">
              <w:t> </w:t>
            </w:r>
          </w:p>
          <w:p w:rsidR="00E22FEA" w:rsidRPr="00EF544B" w:rsidRDefault="00E22FEA" w:rsidP="00EF544B">
            <w:r w:rsidRPr="00EF544B">
              <w:t>1000</w:t>
            </w:r>
          </w:p>
          <w:p w:rsidR="00E22FEA" w:rsidRPr="00EF544B" w:rsidRDefault="00E22FEA" w:rsidP="00EF544B">
            <w:r w:rsidRPr="00EF544B">
              <w:t>5000</w:t>
            </w:r>
          </w:p>
        </w:tc>
      </w:tr>
      <w:tr w:rsidR="00E22FEA" w:rsidRPr="00EF544B" w:rsidTr="00E22FEA">
        <w:tc>
          <w:tcPr>
            <w:tcW w:w="675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  <w:shd w:val="clear" w:color="auto" w:fill="FFFFFF" w:themeFill="background1"/>
            <w:vAlign w:val="center"/>
            <w:hideMark/>
          </w:tcPr>
          <w:p w:rsidR="00E22FEA" w:rsidRPr="00EF544B" w:rsidRDefault="00E22FEA" w:rsidP="00EF544B">
            <w:r w:rsidRPr="00EF544B">
              <w:t>3</w:t>
            </w:r>
          </w:p>
        </w:tc>
        <w:tc>
          <w:tcPr>
            <w:tcW w:w="5666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  <w:shd w:val="clear" w:color="auto" w:fill="FFFFFF" w:themeFill="background1"/>
            <w:vAlign w:val="center"/>
            <w:hideMark/>
          </w:tcPr>
          <w:p w:rsidR="00E22FEA" w:rsidRPr="00EF544B" w:rsidRDefault="00E22FEA" w:rsidP="00EF544B">
            <w:r w:rsidRPr="00EF544B">
              <w:t>Վարակիչ հիվանդություններին կատմամբկենդանիների իմունականխարգելիչ պատվաստումներ և արյուն առում կամ այլ նմուշառում՝ կախված կենդանու տեսակից (բացառությամբ՝ «Գյուղատնտեսական կենդանիների պատվաստում» պետական ծրագրում ընդգրկված հակաանասնահամաճարակային միջոցառումների)</w:t>
            </w:r>
          </w:p>
        </w:tc>
        <w:tc>
          <w:tcPr>
            <w:tcW w:w="2698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  <w:shd w:val="clear" w:color="auto" w:fill="FFFFFF" w:themeFill="background1"/>
            <w:vAlign w:val="center"/>
            <w:hideMark/>
          </w:tcPr>
          <w:p w:rsidR="00E22FEA" w:rsidRPr="00EF544B" w:rsidRDefault="00E22FEA" w:rsidP="00EF544B">
            <w:r w:rsidRPr="00EF544B">
              <w:t>ՄԵԿ100</w:t>
            </w:r>
          </w:p>
          <w:p w:rsidR="00E22FEA" w:rsidRPr="00EF544B" w:rsidRDefault="00E22FEA" w:rsidP="00EF544B">
            <w:r w:rsidRPr="00EF544B">
              <w:t>ԽԵԿ  200</w:t>
            </w:r>
          </w:p>
        </w:tc>
      </w:tr>
      <w:tr w:rsidR="00E22FEA" w:rsidRPr="00EF544B" w:rsidTr="00E22FEA">
        <w:trPr>
          <w:trHeight w:val="698"/>
        </w:trPr>
        <w:tc>
          <w:tcPr>
            <w:tcW w:w="675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  <w:shd w:val="clear" w:color="auto" w:fill="FFFFFF" w:themeFill="background1"/>
            <w:vAlign w:val="center"/>
            <w:hideMark/>
          </w:tcPr>
          <w:p w:rsidR="00E22FEA" w:rsidRPr="00EF544B" w:rsidRDefault="00E22FEA" w:rsidP="00EF544B">
            <w:r w:rsidRPr="00EF544B">
              <w:t>4</w:t>
            </w:r>
          </w:p>
        </w:tc>
        <w:tc>
          <w:tcPr>
            <w:tcW w:w="5666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  <w:shd w:val="clear" w:color="auto" w:fill="FFFFFF" w:themeFill="background1"/>
            <w:vAlign w:val="center"/>
            <w:hideMark/>
          </w:tcPr>
          <w:p w:rsidR="00E22FEA" w:rsidRPr="00EF544B" w:rsidRDefault="00E22FEA" w:rsidP="00EF544B">
            <w:r w:rsidRPr="00EF544B">
              <w:t>Կենդանիների արտաքին և ներքին մակաբույծների դեմ պայքար</w:t>
            </w:r>
          </w:p>
        </w:tc>
        <w:tc>
          <w:tcPr>
            <w:tcW w:w="2698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  <w:shd w:val="clear" w:color="auto" w:fill="FFFFFF" w:themeFill="background1"/>
            <w:vAlign w:val="center"/>
            <w:hideMark/>
          </w:tcPr>
          <w:p w:rsidR="00E22FEA" w:rsidRPr="00EF544B" w:rsidRDefault="00E22FEA" w:rsidP="00EF544B">
            <w:r w:rsidRPr="00EF544B">
              <w:t>200</w:t>
            </w:r>
          </w:p>
        </w:tc>
      </w:tr>
      <w:tr w:rsidR="00E22FEA" w:rsidRPr="00EF544B" w:rsidTr="00E22FEA">
        <w:trPr>
          <w:trHeight w:val="566"/>
        </w:trPr>
        <w:tc>
          <w:tcPr>
            <w:tcW w:w="675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  <w:shd w:val="clear" w:color="auto" w:fill="FFFFFF" w:themeFill="background1"/>
            <w:vAlign w:val="center"/>
            <w:hideMark/>
          </w:tcPr>
          <w:p w:rsidR="00E22FEA" w:rsidRPr="00EF544B" w:rsidRDefault="00E22FEA" w:rsidP="00EF544B">
            <w:r w:rsidRPr="00EF544B">
              <w:t>5</w:t>
            </w:r>
          </w:p>
        </w:tc>
        <w:tc>
          <w:tcPr>
            <w:tcW w:w="5666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  <w:shd w:val="clear" w:color="auto" w:fill="FFFFFF" w:themeFill="background1"/>
            <w:vAlign w:val="center"/>
            <w:hideMark/>
          </w:tcPr>
          <w:p w:rsidR="00E22FEA" w:rsidRPr="00EF544B" w:rsidRDefault="00E22FEA" w:rsidP="00EF544B">
            <w:r w:rsidRPr="00EF544B">
              <w:t>Ախտահանություն</w:t>
            </w:r>
          </w:p>
        </w:tc>
        <w:tc>
          <w:tcPr>
            <w:tcW w:w="2698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  <w:shd w:val="clear" w:color="auto" w:fill="FFFFFF" w:themeFill="background1"/>
            <w:vAlign w:val="center"/>
            <w:hideMark/>
          </w:tcPr>
          <w:p w:rsidR="00E22FEA" w:rsidRPr="00EF544B" w:rsidRDefault="00E22FEA" w:rsidP="00EF544B">
            <w:r w:rsidRPr="00EF544B">
              <w:t>1 քառ. մետր 200</w:t>
            </w:r>
          </w:p>
        </w:tc>
      </w:tr>
      <w:tr w:rsidR="00E22FEA" w:rsidRPr="00EF544B" w:rsidTr="00E22FEA">
        <w:trPr>
          <w:trHeight w:val="560"/>
        </w:trPr>
        <w:tc>
          <w:tcPr>
            <w:tcW w:w="675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  <w:shd w:val="clear" w:color="auto" w:fill="FFFFFF" w:themeFill="background1"/>
            <w:vAlign w:val="center"/>
            <w:hideMark/>
          </w:tcPr>
          <w:p w:rsidR="00E22FEA" w:rsidRPr="00EF544B" w:rsidRDefault="00E22FEA" w:rsidP="00EF544B">
            <w:r w:rsidRPr="00EF544B">
              <w:t>6</w:t>
            </w:r>
          </w:p>
        </w:tc>
        <w:tc>
          <w:tcPr>
            <w:tcW w:w="5666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  <w:shd w:val="clear" w:color="auto" w:fill="FFFFFF" w:themeFill="background1"/>
            <w:vAlign w:val="center"/>
            <w:hideMark/>
          </w:tcPr>
          <w:p w:rsidR="00E22FEA" w:rsidRPr="00EF544B" w:rsidRDefault="00E22FEA" w:rsidP="00EF544B">
            <w:r w:rsidRPr="00EF544B">
              <w:t>Միջատազերծում (դեզինսեկցիա)</w:t>
            </w:r>
          </w:p>
        </w:tc>
        <w:tc>
          <w:tcPr>
            <w:tcW w:w="2698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  <w:shd w:val="clear" w:color="auto" w:fill="FFFFFF" w:themeFill="background1"/>
            <w:vAlign w:val="center"/>
            <w:hideMark/>
          </w:tcPr>
          <w:p w:rsidR="00E22FEA" w:rsidRPr="00EF544B" w:rsidRDefault="00E22FEA" w:rsidP="00EF544B">
            <w:r w:rsidRPr="00EF544B">
              <w:t>1 քառ. մետր 100</w:t>
            </w:r>
          </w:p>
        </w:tc>
      </w:tr>
      <w:tr w:rsidR="00E22FEA" w:rsidRPr="00EF544B" w:rsidTr="00E22FEA">
        <w:trPr>
          <w:trHeight w:val="536"/>
        </w:trPr>
        <w:tc>
          <w:tcPr>
            <w:tcW w:w="675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  <w:shd w:val="clear" w:color="auto" w:fill="FFFFFF" w:themeFill="background1"/>
            <w:vAlign w:val="center"/>
            <w:hideMark/>
          </w:tcPr>
          <w:p w:rsidR="00E22FEA" w:rsidRPr="00EF544B" w:rsidRDefault="00E22FEA" w:rsidP="00EF544B">
            <w:r w:rsidRPr="00EF544B">
              <w:t>7</w:t>
            </w:r>
          </w:p>
        </w:tc>
        <w:tc>
          <w:tcPr>
            <w:tcW w:w="5666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  <w:shd w:val="clear" w:color="auto" w:fill="FFFFFF" w:themeFill="background1"/>
            <w:vAlign w:val="center"/>
            <w:hideMark/>
          </w:tcPr>
          <w:p w:rsidR="00E22FEA" w:rsidRPr="00EF544B" w:rsidRDefault="00E22FEA" w:rsidP="00EF544B">
            <w:r w:rsidRPr="00EF544B">
              <w:t>Կրծողների ոչնչացում (դեռատիզացիա)</w:t>
            </w:r>
          </w:p>
        </w:tc>
        <w:tc>
          <w:tcPr>
            <w:tcW w:w="2698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  <w:shd w:val="clear" w:color="auto" w:fill="FFFFFF" w:themeFill="background1"/>
            <w:vAlign w:val="center"/>
            <w:hideMark/>
          </w:tcPr>
          <w:p w:rsidR="00E22FEA" w:rsidRPr="00EF544B" w:rsidRDefault="00E22FEA" w:rsidP="00EF544B">
            <w:r w:rsidRPr="00EF544B">
              <w:t>1 քառ. մետր 200</w:t>
            </w:r>
          </w:p>
        </w:tc>
      </w:tr>
      <w:tr w:rsidR="00E22FEA" w:rsidRPr="00EF544B" w:rsidTr="00E22FEA">
        <w:trPr>
          <w:trHeight w:val="526"/>
        </w:trPr>
        <w:tc>
          <w:tcPr>
            <w:tcW w:w="675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  <w:shd w:val="clear" w:color="auto" w:fill="FFFFFF" w:themeFill="background1"/>
            <w:vAlign w:val="center"/>
            <w:hideMark/>
          </w:tcPr>
          <w:p w:rsidR="00E22FEA" w:rsidRPr="00EF544B" w:rsidRDefault="00E22FEA" w:rsidP="00EF544B">
            <w:r w:rsidRPr="00EF544B">
              <w:t>8</w:t>
            </w:r>
          </w:p>
        </w:tc>
        <w:tc>
          <w:tcPr>
            <w:tcW w:w="5666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  <w:shd w:val="clear" w:color="auto" w:fill="FFFFFF" w:themeFill="background1"/>
            <w:vAlign w:val="center"/>
            <w:hideMark/>
          </w:tcPr>
          <w:p w:rsidR="00E22FEA" w:rsidRPr="00EF544B" w:rsidRDefault="00E22FEA" w:rsidP="00EF544B">
            <w:r w:rsidRPr="00EF544B">
              <w:t>Արհեստական սերմնավորում</w:t>
            </w:r>
          </w:p>
        </w:tc>
        <w:tc>
          <w:tcPr>
            <w:tcW w:w="2698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  <w:shd w:val="clear" w:color="auto" w:fill="FFFFFF" w:themeFill="background1"/>
            <w:vAlign w:val="center"/>
            <w:hideMark/>
          </w:tcPr>
          <w:p w:rsidR="00E22FEA" w:rsidRPr="00EF544B" w:rsidRDefault="00E22FEA" w:rsidP="00EF544B">
            <w:r w:rsidRPr="00EF544B">
              <w:t xml:space="preserve">5000 </w:t>
            </w:r>
          </w:p>
        </w:tc>
      </w:tr>
      <w:tr w:rsidR="00E22FEA" w:rsidRPr="00EF544B" w:rsidTr="00E22FEA">
        <w:tc>
          <w:tcPr>
            <w:tcW w:w="675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  <w:shd w:val="clear" w:color="auto" w:fill="FFFFFF" w:themeFill="background1"/>
            <w:vAlign w:val="center"/>
            <w:hideMark/>
          </w:tcPr>
          <w:p w:rsidR="00E22FEA" w:rsidRPr="00EF544B" w:rsidRDefault="00E22FEA" w:rsidP="00EF544B">
            <w:r w:rsidRPr="00EF544B">
              <w:t>9</w:t>
            </w:r>
          </w:p>
        </w:tc>
        <w:tc>
          <w:tcPr>
            <w:tcW w:w="5666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  <w:shd w:val="clear" w:color="auto" w:fill="FFFFFF" w:themeFill="background1"/>
            <w:vAlign w:val="center"/>
            <w:hideMark/>
          </w:tcPr>
          <w:p w:rsidR="00E22FEA" w:rsidRPr="00EF544B" w:rsidRDefault="00E22FEA" w:rsidP="00EF544B">
            <w:r w:rsidRPr="00EF544B">
              <w:t>Կենդանու հերձում</w:t>
            </w:r>
          </w:p>
        </w:tc>
        <w:tc>
          <w:tcPr>
            <w:tcW w:w="2698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  <w:shd w:val="clear" w:color="auto" w:fill="FFFFFF" w:themeFill="background1"/>
            <w:vAlign w:val="center"/>
            <w:hideMark/>
          </w:tcPr>
          <w:p w:rsidR="00E22FEA" w:rsidRPr="00EF544B" w:rsidRDefault="00E22FEA" w:rsidP="00EF544B">
            <w:r w:rsidRPr="00EF544B">
              <w:t>ՄԵԿ1000</w:t>
            </w:r>
          </w:p>
          <w:p w:rsidR="00E22FEA" w:rsidRPr="00EF544B" w:rsidRDefault="00E22FEA" w:rsidP="00EF544B">
            <w:r w:rsidRPr="00EF544B">
              <w:t>ԽԵԿ3000</w:t>
            </w:r>
          </w:p>
        </w:tc>
      </w:tr>
      <w:tr w:rsidR="00E22FEA" w:rsidRPr="00EF544B" w:rsidTr="00E22FEA">
        <w:trPr>
          <w:trHeight w:val="742"/>
        </w:trPr>
        <w:tc>
          <w:tcPr>
            <w:tcW w:w="675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  <w:shd w:val="clear" w:color="auto" w:fill="FFFFFF" w:themeFill="background1"/>
            <w:vAlign w:val="center"/>
            <w:hideMark/>
          </w:tcPr>
          <w:p w:rsidR="00E22FEA" w:rsidRPr="00EF544B" w:rsidRDefault="00E22FEA" w:rsidP="00EF544B">
            <w:r w:rsidRPr="00EF544B">
              <w:t>10</w:t>
            </w:r>
          </w:p>
        </w:tc>
        <w:tc>
          <w:tcPr>
            <w:tcW w:w="5666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  <w:shd w:val="clear" w:color="auto" w:fill="FFFFFF" w:themeFill="background1"/>
            <w:vAlign w:val="center"/>
            <w:hideMark/>
          </w:tcPr>
          <w:p w:rsidR="00E22FEA" w:rsidRPr="00EF544B" w:rsidRDefault="00E22FEA" w:rsidP="00EF544B">
            <w:r w:rsidRPr="00EF544B">
              <w:t>Կենդանու բուժում՝ կախված հիվանդության տեսակից և կենդանու տեսակից</w:t>
            </w:r>
          </w:p>
        </w:tc>
        <w:tc>
          <w:tcPr>
            <w:tcW w:w="2698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  <w:shd w:val="clear" w:color="auto" w:fill="FFFFFF" w:themeFill="background1"/>
            <w:vAlign w:val="center"/>
            <w:hideMark/>
          </w:tcPr>
          <w:p w:rsidR="00E22FEA" w:rsidRPr="00EF544B" w:rsidRDefault="00E22FEA" w:rsidP="00EF544B">
            <w:r w:rsidRPr="00EF544B">
              <w:t>Յուրաքանչյուր այցելությունը 1000</w:t>
            </w:r>
          </w:p>
        </w:tc>
      </w:tr>
      <w:tr w:rsidR="00E22FEA" w:rsidRPr="00EF544B" w:rsidTr="00E22FEA">
        <w:trPr>
          <w:trHeight w:val="721"/>
        </w:trPr>
        <w:tc>
          <w:tcPr>
            <w:tcW w:w="675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  <w:shd w:val="clear" w:color="auto" w:fill="FFFFFF" w:themeFill="background1"/>
            <w:vAlign w:val="center"/>
            <w:hideMark/>
          </w:tcPr>
          <w:p w:rsidR="00E22FEA" w:rsidRPr="00EF544B" w:rsidRDefault="00E22FEA" w:rsidP="00EF544B">
            <w:r w:rsidRPr="00EF544B">
              <w:t>11</w:t>
            </w:r>
          </w:p>
        </w:tc>
        <w:tc>
          <w:tcPr>
            <w:tcW w:w="5666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  <w:shd w:val="clear" w:color="auto" w:fill="FFFFFF" w:themeFill="background1"/>
            <w:vAlign w:val="center"/>
            <w:hideMark/>
          </w:tcPr>
          <w:p w:rsidR="00E22FEA" w:rsidRPr="00EF544B" w:rsidRDefault="00E22FEA" w:rsidP="00EF544B">
            <w:r w:rsidRPr="00EF544B">
              <w:t>Կենդանիների նախասպանդային զննում՝ կախված կենդանու տեսակից</w:t>
            </w:r>
          </w:p>
        </w:tc>
        <w:tc>
          <w:tcPr>
            <w:tcW w:w="2698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  <w:shd w:val="clear" w:color="auto" w:fill="FFFFFF" w:themeFill="background1"/>
            <w:vAlign w:val="center"/>
            <w:hideMark/>
          </w:tcPr>
          <w:p w:rsidR="00E22FEA" w:rsidRPr="00EF544B" w:rsidRDefault="00E22FEA" w:rsidP="00EF544B">
            <w:r w:rsidRPr="00EF544B">
              <w:t>ՄԵԿ  1000</w:t>
            </w:r>
          </w:p>
          <w:p w:rsidR="00E22FEA" w:rsidRPr="00EF544B" w:rsidRDefault="00E22FEA" w:rsidP="00EF544B">
            <w:r w:rsidRPr="00EF544B">
              <w:t>ԽԵԿ 2000</w:t>
            </w:r>
          </w:p>
        </w:tc>
      </w:tr>
    </w:tbl>
    <w:p w:rsidR="00E22FEA" w:rsidRPr="00EF544B" w:rsidRDefault="00E22FEA" w:rsidP="00E22FEA">
      <w:r w:rsidRPr="00EF544B">
        <w:t> </w:t>
      </w:r>
    </w:p>
    <w:p w:rsidR="00E22FEA" w:rsidRPr="00EF544B" w:rsidRDefault="00E22FEA" w:rsidP="00E22FEA">
      <w:r w:rsidRPr="00EF544B"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07"/>
        <w:gridCol w:w="1212"/>
      </w:tblGrid>
      <w:tr w:rsidR="00E22FEA" w:rsidRPr="00EF544B" w:rsidTr="00E22F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2FEA" w:rsidRPr="00EF544B" w:rsidRDefault="00E22FEA" w:rsidP="00EF544B">
            <w:r w:rsidRPr="00EF544B">
              <w:lastRenderedPageBreak/>
              <w:t>Կողմ-8</w:t>
            </w:r>
          </w:p>
        </w:tc>
        <w:tc>
          <w:tcPr>
            <w:tcW w:w="0" w:type="auto"/>
            <w:vAlign w:val="center"/>
            <w:hideMark/>
          </w:tcPr>
          <w:p w:rsidR="00E22FEA" w:rsidRPr="00EF544B" w:rsidRDefault="00E22FEA" w:rsidP="00EF544B">
            <w:r w:rsidRPr="00EF544B">
              <w:t>Դեմ-0</w:t>
            </w:r>
          </w:p>
        </w:tc>
        <w:tc>
          <w:tcPr>
            <w:tcW w:w="0" w:type="auto"/>
            <w:vAlign w:val="center"/>
            <w:hideMark/>
          </w:tcPr>
          <w:p w:rsidR="00E22FEA" w:rsidRPr="00EF544B" w:rsidRDefault="00E22FEA" w:rsidP="00EF544B">
            <w:r w:rsidRPr="00EF544B">
              <w:t>Ձեռնպահ-0</w:t>
            </w:r>
          </w:p>
        </w:tc>
      </w:tr>
    </w:tbl>
    <w:p w:rsidR="00E22FEA" w:rsidRPr="00EF544B" w:rsidRDefault="00E22FEA" w:rsidP="00E22FEA">
      <w:r w:rsidRPr="00EF544B">
        <w:t>Որոշումն ընդունված է. /կցվում է որոշում N 84-Ն/</w:t>
      </w:r>
    </w:p>
    <w:p w:rsidR="00E22FEA" w:rsidRPr="00EF544B" w:rsidRDefault="00E22FEA" w:rsidP="00E22FEA">
      <w:r w:rsidRPr="00EF544B">
        <w:t>Լսեցին</w:t>
      </w:r>
      <w:r w:rsidRPr="00EF544B">
        <w:br/>
        <w:t>ՄԱՍԻՍ ՔԱՂԱՔԱՅԻՆ ՀԱՄԱՅՆՔԻ ԱՎԱԳԱՆՈՒ 2018 ԹՎԱԿԱՆԻ ՆՈՅԵՄԲԵՐԻ 1-Ի N70-Ա, N71-Ա, N73-Ա, N74-Ա, N75-Ա ՈՐՈՇՈՒՄՆԵՐԻՆ ԿԻՑ 1-ԻՆ ՀԱՎԵԼՎԱԾՆԵՐՈՒՄ ՓՈՓՈԽՈՒԹՅՈՒՆՆԵՐ ԿԱՏԱՐԵԼՈՒ ՄԱՍԻՆ</w:t>
      </w:r>
    </w:p>
    <w:p w:rsidR="00E22FEA" w:rsidRPr="00EF544B" w:rsidRDefault="00E22FEA" w:rsidP="00E22FEA">
      <w:r w:rsidRPr="00EF544B">
        <w:t xml:space="preserve">/Զեկ. </w:t>
      </w:r>
      <w:hyperlink r:id="rId16" w:tgtFrame="employee" w:history="1">
        <w:r w:rsidRPr="00EF544B">
          <w:t>ՌՈՒԲԵՆ ԱԹԱՆԵՍՅԱՆ</w:t>
        </w:r>
      </w:hyperlink>
      <w:r w:rsidRPr="00EF544B">
        <w:t>/</w:t>
      </w:r>
    </w:p>
    <w:p w:rsidR="00E22FEA" w:rsidRPr="00EF544B" w:rsidRDefault="00E22FEA" w:rsidP="00E22FEA">
      <w:r w:rsidRPr="00EF544B">
        <w:t>Ղեկավարվելով ,,Նորմատիվ իրավական ակտերի մասին,, Հայաստանի Հանրապետության օրենքի 33-րդ հոդվածի 1-ին մասի, 1-ին կետի պահանջով Մասիս քաղաքային համայնքի ավագանին որոշում է.</w:t>
      </w:r>
    </w:p>
    <w:p w:rsidR="00E22FEA" w:rsidRPr="00EF544B" w:rsidRDefault="00E22FEA" w:rsidP="00E22FEA">
      <w:r w:rsidRPr="00EF544B">
        <w:t> </w:t>
      </w:r>
    </w:p>
    <w:p w:rsidR="00E22FEA" w:rsidRPr="00EF544B" w:rsidRDefault="00E22FEA" w:rsidP="00E22FEA">
      <w:r w:rsidRPr="00EF544B">
        <w:t>1.Մասիս քաղաքային համայնքի ավագանու 2018 թվականի նոյեմբերի 1-ի N70-Ա, N71-Ա, N73-Ա, N74-Ա, N75-Ա որոշումներին կից 1-ին հավելվածներում՝ 2-րդ, 3-րդ և 4-րդ տողերում ,,Դրույքաչափը,, սյունյակի տակ գրառված ,,72752,, թվերը փոխարինել ,,79400,, թվերով: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07"/>
        <w:gridCol w:w="1212"/>
      </w:tblGrid>
      <w:tr w:rsidR="00E22FEA" w:rsidRPr="00EF544B" w:rsidTr="00E22F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2FEA" w:rsidRPr="00EF544B" w:rsidRDefault="00E22FEA" w:rsidP="00EF544B">
            <w:r w:rsidRPr="00EF544B">
              <w:t>Կողմ-8</w:t>
            </w:r>
          </w:p>
        </w:tc>
        <w:tc>
          <w:tcPr>
            <w:tcW w:w="0" w:type="auto"/>
            <w:vAlign w:val="center"/>
            <w:hideMark/>
          </w:tcPr>
          <w:p w:rsidR="00E22FEA" w:rsidRPr="00EF544B" w:rsidRDefault="00E22FEA" w:rsidP="00EF544B">
            <w:r w:rsidRPr="00EF544B">
              <w:t>Դեմ-0</w:t>
            </w:r>
          </w:p>
        </w:tc>
        <w:tc>
          <w:tcPr>
            <w:tcW w:w="0" w:type="auto"/>
            <w:vAlign w:val="center"/>
            <w:hideMark/>
          </w:tcPr>
          <w:p w:rsidR="00E22FEA" w:rsidRPr="00EF544B" w:rsidRDefault="00E22FEA" w:rsidP="00EF544B">
            <w:r w:rsidRPr="00EF544B">
              <w:t>Ձեռնպահ-0</w:t>
            </w:r>
          </w:p>
        </w:tc>
      </w:tr>
    </w:tbl>
    <w:p w:rsidR="00E22FEA" w:rsidRPr="00EF544B" w:rsidRDefault="00E22FEA" w:rsidP="00E22FEA">
      <w:r w:rsidRPr="00EF544B">
        <w:t>Որոշումն ընդունված է. /կցվում է որոշում N 85-Ա/</w:t>
      </w:r>
    </w:p>
    <w:p w:rsidR="00E22FEA" w:rsidRPr="00EF544B" w:rsidRDefault="00E22FEA" w:rsidP="00E22FEA">
      <w:r w:rsidRPr="00EF544B">
        <w:t>Լսեցին</w:t>
      </w:r>
      <w:r w:rsidRPr="00EF544B">
        <w:br/>
        <w:t>,,ՀՀ ԱՐԱՐԱՏԻ ՄԱՐԶԻ ՄԱՍԻՍԻ ՔԱՂԱՔԱՅԻՆ ՀԱՄԱՅՆՔԻ ԹԻՎ 3 ՄԱՆԿԱՊԱՐՏԵԶ,, ՀԱՄԱՅՆՔԱՅԻՆ ՈՉ ԱՌԵՎՏՐԱՅԻՆ ԿԱԶՄԱԿԵՐՊՈՒԹՅԱՆ ԿԱՌՈՒՑՎԱԾՔԸ, ԱՇԽԱՏՈՂՆԵՐԻ ՔԱՆԱԿԸ, ՀԱՍՏԻՔԱՑՈՒՑԱԿԸ, ՊԱՇՏՈՆԱՅԻՆ ԴՐՈՒՅՔԱՉԱՓԵՐԸ ՀԱՍՏԱՏԵԼՈՒ ԵՎ ՄԱՍԻՍ ՔԱՂԱՔԱՅԻՆ ՀԱՄԱՅՆՔԻ ԱՎԱԳԱՆՈՒ 2018 ԹՎԱԿԱՆԻ ՆՈՅԵՄԲԵՐԻ 1-Ի N72-Ա ՈՐՈՇՈՒՄԸ ՈՒԺԸ ԿՈՐՑՐԱԾ ՃԱՆԱՉԵԼՈՒ ՄԱՍԻՆ</w:t>
      </w:r>
    </w:p>
    <w:p w:rsidR="00E22FEA" w:rsidRPr="00EF544B" w:rsidRDefault="00E22FEA" w:rsidP="00E22FEA">
      <w:r w:rsidRPr="00EF544B">
        <w:t xml:space="preserve">/Զեկ. </w:t>
      </w:r>
      <w:hyperlink r:id="rId17" w:tgtFrame="employee" w:history="1">
        <w:r w:rsidRPr="00EF544B">
          <w:t>ՌՈՒԲԵՆ ԱԹԱՆԵՍՅԱՆ</w:t>
        </w:r>
      </w:hyperlink>
      <w:r w:rsidRPr="00EF544B">
        <w:t>/</w:t>
      </w:r>
    </w:p>
    <w:p w:rsidR="00E22FEA" w:rsidRPr="00EF544B" w:rsidRDefault="00E22FEA" w:rsidP="00E22FEA">
      <w:r w:rsidRPr="00EF544B">
        <w:t>Ղեկավարվելով ,,Տեղական ինքնակառավարման մասին,, Հայաստանի Հանրապետության օրենքի 18-րդ հոդված 1-ին մասի 28-րդ կետի, ,,Նորմատիվ իրավական ակտերի  մասին,, Հայաստանի Հանրապետության օրենքի 37-րդ հոդվածի 1-ին մասի  պահանջներով Մասիս քաղաքային  համայնքի ավագանին որոշում է.</w:t>
      </w:r>
    </w:p>
    <w:p w:rsidR="00E22FEA" w:rsidRPr="00EF544B" w:rsidRDefault="00E22FEA" w:rsidP="00E22FEA">
      <w:r w:rsidRPr="00EF544B">
        <w:t> </w:t>
      </w:r>
    </w:p>
    <w:p w:rsidR="00E22FEA" w:rsidRPr="00EF544B" w:rsidRDefault="00E22FEA" w:rsidP="00E22FEA">
      <w:r w:rsidRPr="00EF544B">
        <w:t>1.Հաստատել ,,ՀՀ Արարատի մարզի Մասիսի քաղաքային համայնքի թիվ 3 մանկապարտեզ,, համայնքային ոչ առևտրային կազմակերպության կառուցվածքը, աշխատողների քանակը, հաստիքացուցակը, պաշտոնային դրույքաչափերը համաձայն կցված 1 և 2 հավելվածների:</w:t>
      </w:r>
    </w:p>
    <w:p w:rsidR="00E22FEA" w:rsidRPr="00EF544B" w:rsidRDefault="00E22FEA" w:rsidP="00E22FEA">
      <w:r w:rsidRPr="00EF544B">
        <w:t xml:space="preserve">2.ՈՒժը կորցրած ճանաչել Մասիս քաղաքային համայնքի ավագանու 2018 թվականի նոյեմբերի 1-ի ,,,,ՀՀ Արարատի մարզի Մասիսի քաղաքային համայնքի թիվ 3 մանկապարտեզ,, համայնքային ոչ առևտրային կազմակերպության կառուցվածքը, աշխատողների քանակը, հաստիքացուցակը, պաշտոնային դրույքաչափերը հաստատելու և Մասիս քաղաքային համայնքի ավագանու 2017 թվականի օգոստոսի 28-ի N-63 Ա որոշումը ուժը կորցրած ճանաչելու մասին ,, N72-Ա որոշումը: </w:t>
      </w:r>
    </w:p>
    <w:p w:rsidR="00E22FEA" w:rsidRPr="00EF544B" w:rsidRDefault="00E22FEA" w:rsidP="00E22FEA">
      <w:r w:rsidRPr="00EF544B">
        <w:t>3.Սույն որոշումն ուժի մեջ է մտնում 2019 թվականի հունվարի 1-ից: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07"/>
        <w:gridCol w:w="1212"/>
      </w:tblGrid>
      <w:tr w:rsidR="00E22FEA" w:rsidRPr="00EF544B" w:rsidTr="00E22F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2FEA" w:rsidRPr="00EF544B" w:rsidRDefault="00E22FEA" w:rsidP="00EF544B">
            <w:r w:rsidRPr="00EF544B">
              <w:t>Կողմ-8</w:t>
            </w:r>
          </w:p>
        </w:tc>
        <w:tc>
          <w:tcPr>
            <w:tcW w:w="0" w:type="auto"/>
            <w:vAlign w:val="center"/>
            <w:hideMark/>
          </w:tcPr>
          <w:p w:rsidR="00E22FEA" w:rsidRPr="00EF544B" w:rsidRDefault="00E22FEA" w:rsidP="00EF544B">
            <w:r w:rsidRPr="00EF544B">
              <w:t>Դեմ-0</w:t>
            </w:r>
          </w:p>
        </w:tc>
        <w:tc>
          <w:tcPr>
            <w:tcW w:w="0" w:type="auto"/>
            <w:vAlign w:val="center"/>
            <w:hideMark/>
          </w:tcPr>
          <w:p w:rsidR="00E22FEA" w:rsidRPr="00EF544B" w:rsidRDefault="00E22FEA" w:rsidP="00EF544B">
            <w:r w:rsidRPr="00EF544B">
              <w:t>Ձեռնպահ-0</w:t>
            </w:r>
          </w:p>
        </w:tc>
      </w:tr>
    </w:tbl>
    <w:p w:rsidR="00E22FEA" w:rsidRPr="00EF544B" w:rsidRDefault="00E22FEA" w:rsidP="00E22FEA">
      <w:r w:rsidRPr="00EF544B">
        <w:t>Որոշումն ընդունված է. /կցվում է որոշում N 86-Ա/</w:t>
      </w:r>
    </w:p>
    <w:p w:rsidR="00E22FEA" w:rsidRPr="00EF544B" w:rsidRDefault="00E22FEA" w:rsidP="00E22FEA">
      <w:r w:rsidRPr="00EF544B">
        <w:t>Լսեցին</w:t>
      </w:r>
      <w:r w:rsidRPr="00EF544B">
        <w:br/>
        <w:t>ՄԱՍԻՍ ՔԱՂԱՔԱՅԻՆ ՀԱՄԱՅՆՔԻ ՍԵՓԱԿԱՆՈՒԹՅՈՒՆ ՀԱՆԴԻՍԱՑՈՂ ՈՉ ԲՆԱԿԵԼԻ ՏԱՐԱԾՔՆԵՐԸ ՎԱՐՁԱԿԱԼՈՒԹՅԱՆ ՏՐԱՄԱԴՐԵԼՈՒ ԹՈՒՅԼՏՎՈՒԹՅԱՆ, ԺԱՄԿԵՏՆ ՈՒ ՎՃԱՐԻ ՉԱՓԸ ՍԱՀՄԱՆԵԼՈՒ ՄԱՍԻՆ</w:t>
      </w:r>
    </w:p>
    <w:p w:rsidR="00E22FEA" w:rsidRPr="00EF544B" w:rsidRDefault="00E22FEA" w:rsidP="00E22FEA">
      <w:r w:rsidRPr="00EF544B">
        <w:t xml:space="preserve">/Զեկ. </w:t>
      </w:r>
      <w:hyperlink r:id="rId18" w:tgtFrame="employee" w:history="1">
        <w:r w:rsidRPr="00EF544B">
          <w:t>ԼՈՒՍԻՆԵ ԱՍՏԱԲԱՑՅԱՆ</w:t>
        </w:r>
      </w:hyperlink>
      <w:r w:rsidRPr="00EF544B">
        <w:t>/</w:t>
      </w:r>
    </w:p>
    <w:p w:rsidR="00E22FEA" w:rsidRPr="00EF544B" w:rsidRDefault="00E22FEA" w:rsidP="00E22FEA">
      <w:r w:rsidRPr="00EF544B">
        <w:lastRenderedPageBreak/>
        <w:t>Ղեկավարվելով ,,Տեղական ինքնակառավարման մասին,, Հայաստանի Հանրապետության օրենքի 18-րդ հոդվածի 1-ին մասի  21-րդ կետի պահանջներով Մասիս քաղաքային համայնքի ավագանին որոշում է՝</w:t>
      </w:r>
    </w:p>
    <w:p w:rsidR="00E22FEA" w:rsidRPr="00EF544B" w:rsidRDefault="00E22FEA" w:rsidP="00E22FEA">
      <w:r w:rsidRPr="00EF544B">
        <w:t> </w:t>
      </w:r>
    </w:p>
    <w:p w:rsidR="00E22FEA" w:rsidRPr="00EF544B" w:rsidRDefault="00E22FEA" w:rsidP="00E22FEA">
      <w:r w:rsidRPr="00EF544B">
        <w:t> 1. Տալ թույլտվություն Մասիս քաղաքային համայնքի սեփականություն հանդիսացող ոչ բնակելի տարածքները վարձակալության տրամադրելու համար:</w:t>
      </w:r>
    </w:p>
    <w:p w:rsidR="00E22FEA" w:rsidRPr="00EF544B" w:rsidRDefault="00E22FEA" w:rsidP="00E22FEA">
      <w:r w:rsidRPr="00EF544B">
        <w:t>2.Սահմանել Հայաստանի Հանրապետության Արարատի մարզի Մասիս քաղաքային համայնքի սեփականություն հանդիսացող ներքոնշյալ ոչ բնակելի տարածքների վարձակալության տրամադրելու ժամկետը 5 /հինգ/ տարի, վճարի չափը՝</w:t>
      </w:r>
    </w:p>
    <w:p w:rsidR="00E22FEA" w:rsidRPr="00EF544B" w:rsidRDefault="00E22FEA" w:rsidP="00E22FEA">
      <w:r w:rsidRPr="00EF544B">
        <w:t>       ա/ ՀՀ Արարատի մարզի Մասիս քաղաքային համայնքի քաղաքապետարանի վարչական շենքի տանիքի վարձակալության վճար՝ 1 քմ-ի արժեքը՝ ամսական 1750/մեկ հազար յոթ հարյուր հիսուն/ դրամ:</w:t>
      </w:r>
    </w:p>
    <w:p w:rsidR="00E22FEA" w:rsidRPr="00EF544B" w:rsidRDefault="00E22FEA" w:rsidP="00E22FEA">
      <w:r w:rsidRPr="00EF544B">
        <w:t>      բ/ ՀՀ Արարատի մարզի Մասիս քաղաքային համայնքի քաղաքապետարանի վարչական շենքի ազատ տարածքներից տրամադրել վարձակալության՝ 1 քմ-ի արժեքը՝ բյուջետային հիմնարկների համար՝ 500/հինգ հարյուր/ դրամ, ֆիզիկական և իրավաբանական անձանց համար՝ 1000/մեկ հազար/ դրամ:</w:t>
      </w:r>
    </w:p>
    <w:p w:rsidR="00E22FEA" w:rsidRPr="00EF544B" w:rsidRDefault="00E22FEA" w:rsidP="00E22FEA">
      <w:r w:rsidRPr="00EF544B">
        <w:t>       3. Վարձակալության փաստաթղթերի ձևակերպման ծախսերը թողնել վարձակալների վրա:   </w:t>
      </w:r>
    </w:p>
    <w:p w:rsidR="00E22FEA" w:rsidRPr="00EF544B" w:rsidRDefault="00E22FEA" w:rsidP="00E22FEA">
      <w:r w:rsidRPr="00EF544B">
        <w:t xml:space="preserve">  </w:t>
      </w:r>
    </w:p>
    <w:p w:rsidR="00E22FEA" w:rsidRPr="00EF544B" w:rsidRDefault="00E22FEA" w:rsidP="00E22FEA">
      <w:r w:rsidRPr="00EF544B"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07"/>
        <w:gridCol w:w="1212"/>
      </w:tblGrid>
      <w:tr w:rsidR="00E22FEA" w:rsidRPr="00EF544B" w:rsidTr="00E22F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2FEA" w:rsidRPr="00EF544B" w:rsidRDefault="00E22FEA" w:rsidP="00EF544B">
            <w:r w:rsidRPr="00EF544B">
              <w:t>Կողմ-8</w:t>
            </w:r>
          </w:p>
        </w:tc>
        <w:tc>
          <w:tcPr>
            <w:tcW w:w="0" w:type="auto"/>
            <w:vAlign w:val="center"/>
            <w:hideMark/>
          </w:tcPr>
          <w:p w:rsidR="00E22FEA" w:rsidRPr="00EF544B" w:rsidRDefault="00E22FEA" w:rsidP="00EF544B">
            <w:r w:rsidRPr="00EF544B">
              <w:t>Դեմ-0</w:t>
            </w:r>
          </w:p>
        </w:tc>
        <w:tc>
          <w:tcPr>
            <w:tcW w:w="0" w:type="auto"/>
            <w:vAlign w:val="center"/>
            <w:hideMark/>
          </w:tcPr>
          <w:p w:rsidR="00E22FEA" w:rsidRPr="00EF544B" w:rsidRDefault="00E22FEA" w:rsidP="00EF544B">
            <w:r w:rsidRPr="00EF544B">
              <w:t>Ձեռնպահ-0</w:t>
            </w:r>
          </w:p>
        </w:tc>
      </w:tr>
    </w:tbl>
    <w:p w:rsidR="00E22FEA" w:rsidRPr="00EF544B" w:rsidRDefault="00E22FEA" w:rsidP="00E22FEA">
      <w:r w:rsidRPr="00EF544B">
        <w:t>Որոշումն ընդունված է. /կցվում է որոշում N 87-Ա/</w:t>
      </w:r>
    </w:p>
    <w:p w:rsidR="00E22FEA" w:rsidRPr="00EF544B" w:rsidRDefault="00E22FEA" w:rsidP="00E22FEA">
      <w:r w:rsidRPr="00EF544B">
        <w:t>Լսեցին</w:t>
      </w:r>
      <w:r w:rsidRPr="00EF544B">
        <w:br/>
        <w:t xml:space="preserve">,,ՄԱՔՈՒՐ ՄԱՍԻՍ,, ՓԱԿ ԲԱԺՆԵՏԻՐԱԿԱՆ ԸՆԿԵՐՈՒԹՅԱՆ ՀԱՍՏԻՔԱՑՈՒՑԱԿԸ, ՊԱՇՏՈՆԱՅԻՆ ԴՐՈՒՅՔԱՉԱՓԵՐԸ, ԱՇԽԱՏՈՂՆԵՐԻ ՔԱՆԱԿԸ ՀԱՍՏԱՏԵԼՈՒ ԵՎ ՄԱՍԻՍ ՔԱՂԱՔԱՅԻՆ ՀԱՄԱՅՆՔԻ ԱՎԱԳԱՆՈՒ 2017 ԹՎԱԿԱՆԻ ԴԵԿՏԵՄԲԵՐԻ 7-Ի N116-Ա ՈՐՈՇՈՒՄԸ ՈՒԺԸ ԿՈՐՑՐԱԾ ՃԱՆԱՉԵԼՈՒ ՄԱՍԻՆ </w:t>
      </w:r>
    </w:p>
    <w:p w:rsidR="00E22FEA" w:rsidRPr="00EF544B" w:rsidRDefault="00E22FEA" w:rsidP="00E22FEA">
      <w:r w:rsidRPr="00EF544B">
        <w:t xml:space="preserve">/Զեկ. </w:t>
      </w:r>
      <w:hyperlink r:id="rId19" w:tgtFrame="employee" w:history="1">
        <w:r w:rsidRPr="00EF544B">
          <w:t>ԼՈՒՍԻՆԵ ԱՍՏԱԲԱՑՅԱՆ</w:t>
        </w:r>
      </w:hyperlink>
      <w:r w:rsidRPr="00EF544B">
        <w:t>/</w:t>
      </w:r>
    </w:p>
    <w:p w:rsidR="00E22FEA" w:rsidRPr="00EF544B" w:rsidRDefault="00E22FEA" w:rsidP="00E22FEA">
      <w:r w:rsidRPr="00EF544B">
        <w:t>Ղեկավարվելով «Տեղական ինքնակառավարման մասին» Հայաստանի Հանրապետության օրենքի 18-րդ հոդվածի 1-ին մասի 28-րդ կետի, ,,Նորմատիվ իրավական ակտերի մասին,, Հայաստանի Հանրապետության օրենքի 37-րդ հոդվածի 1-ին մասի պահանջներով`Մասիս քաղաքային համայնքի ավագանին որոշում է.</w:t>
      </w:r>
    </w:p>
    <w:p w:rsidR="00E22FEA" w:rsidRPr="00EF544B" w:rsidRDefault="00E22FEA" w:rsidP="00E22FEA">
      <w:r w:rsidRPr="00EF544B">
        <w:t> </w:t>
      </w:r>
    </w:p>
    <w:p w:rsidR="00E22FEA" w:rsidRPr="00EF544B" w:rsidRDefault="00E22FEA" w:rsidP="00E22FEA">
      <w:r w:rsidRPr="00EF544B">
        <w:t>1. Հաստատել «Մաքուր Մասիս» փակ բաժնետիրական ընկերության հաստիքացուցակը, պաշտոնային դրուքաչափերը և աշխատողների քանակը համաձայն հավելված 1-ի:</w:t>
      </w:r>
    </w:p>
    <w:p w:rsidR="00E22FEA" w:rsidRPr="00EF544B" w:rsidRDefault="00E22FEA" w:rsidP="00E22FEA">
      <w:r w:rsidRPr="00EF544B">
        <w:t>2.ՈՒժը կորցրած ճանաչել Մասիս քաղաքային համայնքի ավագանու 2017 թվականի դեկտեմբերի 7-ի ,,,,Մաքուր Մասիս,, փակ բաժնետիրական ընկերության հաստիքացուցակը, պաշտոնային դրույքաչափերը, կառուցվածքը և աշխատողների քանակը հաստատելու մասին,, N116-Ա որոշումը:</w:t>
      </w:r>
    </w:p>
    <w:p w:rsidR="00E22FEA" w:rsidRPr="00EF544B" w:rsidRDefault="00E22FEA" w:rsidP="00E22FEA">
      <w:r w:rsidRPr="00EF544B"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07"/>
        <w:gridCol w:w="1212"/>
      </w:tblGrid>
      <w:tr w:rsidR="00E22FEA" w:rsidRPr="00EF544B" w:rsidTr="00E22F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2FEA" w:rsidRPr="00EF544B" w:rsidRDefault="00E22FEA" w:rsidP="00EF544B">
            <w:r w:rsidRPr="00EF544B">
              <w:t>Կողմ-8</w:t>
            </w:r>
          </w:p>
        </w:tc>
        <w:tc>
          <w:tcPr>
            <w:tcW w:w="0" w:type="auto"/>
            <w:vAlign w:val="center"/>
            <w:hideMark/>
          </w:tcPr>
          <w:p w:rsidR="00E22FEA" w:rsidRPr="00EF544B" w:rsidRDefault="00E22FEA" w:rsidP="00EF544B">
            <w:r w:rsidRPr="00EF544B">
              <w:t>Դեմ-0</w:t>
            </w:r>
          </w:p>
        </w:tc>
        <w:tc>
          <w:tcPr>
            <w:tcW w:w="0" w:type="auto"/>
            <w:vAlign w:val="center"/>
            <w:hideMark/>
          </w:tcPr>
          <w:p w:rsidR="00E22FEA" w:rsidRPr="00EF544B" w:rsidRDefault="00E22FEA" w:rsidP="00EF544B">
            <w:r w:rsidRPr="00EF544B">
              <w:t>Ձեռնպահ-0</w:t>
            </w:r>
          </w:p>
        </w:tc>
      </w:tr>
    </w:tbl>
    <w:p w:rsidR="00E22FEA" w:rsidRPr="00EF544B" w:rsidRDefault="00E22FEA" w:rsidP="00E22FEA">
      <w:r w:rsidRPr="00EF544B">
        <w:t>Որոշումն ընդունված է. /կցվում է որոշում N 88-Ա/</w:t>
      </w:r>
    </w:p>
    <w:p w:rsidR="00E22FEA" w:rsidRPr="00EF544B" w:rsidRDefault="00E22FEA" w:rsidP="00E22FEA">
      <w:r w:rsidRPr="00EF544B">
        <w:t>Լսեցին</w:t>
      </w:r>
      <w:r w:rsidRPr="00EF544B">
        <w:br/>
        <w:t xml:space="preserve">ԱՐԱՐԱՏԻ ՄԱՐԶԻ ՄԱՍԻՍ ՔԱՂԱՔԱՅԻՆ ՀԱՄԱՅՆՔԻ ,,ՄԱՍԻՍԻ ՄՇԱԿՈՒՅԹԻ ԿԵՆՏՐՈՆ,, ՓԱԿ ԲԱԺՆԵՏԻՐԱԿԱՆ ԸՆԿԵՐՈՒԹՅԱՆ ՀԱՍՏԻՔԱՑՈՒՑԱԿԸ, ՊԱՇՏՈՆԱՅԻՆ ԴՐՈՒՅՔԱՉԱՓԵՐԸ ԵՎ </w:t>
      </w:r>
      <w:r w:rsidRPr="00EF544B">
        <w:lastRenderedPageBreak/>
        <w:t>ԱՇԽԱՏՈՂՆԵՐԻ ՔԱՆԱԿԸ ՀԱՍՏԱՏԵԼՈՒ ԵՎ ՄԱՍԻՍ ՔԱՂԱՔԱՅԻՆ ՀԱՄԱՅՆՔԻ ԱՎԱԳԱՆՈՒ 2017 ԹՎԱԿԱՆԻ ՀՈԿՏԵՄԲԵՐԻ 10-Ի N 86-Ա ՈՐՈՇՈՒՄԸ ՈՒԺԸ ԿՈՐՑՐԱԾ ՃԱՆԱՉԵԼՈՒ ՄԱՍԻՆ</w:t>
      </w:r>
    </w:p>
    <w:p w:rsidR="00E22FEA" w:rsidRPr="00EF544B" w:rsidRDefault="00E22FEA" w:rsidP="00E22FEA">
      <w:r w:rsidRPr="00EF544B">
        <w:t xml:space="preserve">/Զեկ. </w:t>
      </w:r>
      <w:hyperlink r:id="rId20" w:tgtFrame="employee" w:history="1">
        <w:r w:rsidRPr="00EF544B">
          <w:t>ԷԴԳԱՐ ՂՈՒԿԱՍՅԱՆ</w:t>
        </w:r>
      </w:hyperlink>
      <w:r w:rsidRPr="00EF544B">
        <w:t>/</w:t>
      </w:r>
    </w:p>
    <w:p w:rsidR="00E22FEA" w:rsidRPr="00EF544B" w:rsidRDefault="00E22FEA" w:rsidP="00E22FEA">
      <w:r w:rsidRPr="00EF544B">
        <w:t>Ղեկավարվելով  «Տեղական ինքնակառավարման մասին»  Հայաստանի Հանրապետության օրենքի 18-րդ հոդվածի 1-ին մասի 28-րդ կետի, ,,Նորմատիվ իրավական ակտերի մասին,, Հայաստանի Հանրապետության օրենքի 37-րդ հոդվածի 1-ին մասի պահանջներով Մասիս քաղաքային համայնքի ավագանին որոշում է՝</w:t>
      </w:r>
    </w:p>
    <w:p w:rsidR="00E22FEA" w:rsidRPr="00EF544B" w:rsidRDefault="00E22FEA" w:rsidP="00E22FEA">
      <w:r w:rsidRPr="00EF544B">
        <w:t> </w:t>
      </w:r>
    </w:p>
    <w:p w:rsidR="00E22FEA" w:rsidRPr="00EF544B" w:rsidRDefault="00E22FEA" w:rsidP="00E22FEA">
      <w:r w:rsidRPr="00EF544B">
        <w:t>  1. Հաստատել ՀՀ Արարատի մարզի Մասիս քաղաքային համայնքի ,,Մասիսի մշակույթի կենտրոն,, փակ բաժնետիրական ընկերության  հաստիքացուցակը, պաշտոնային դրուքաչափերը և աշխատողների քանակը համաձայն հավելված 1-ի:</w:t>
      </w:r>
    </w:p>
    <w:p w:rsidR="00E22FEA" w:rsidRPr="00EF544B" w:rsidRDefault="00E22FEA" w:rsidP="00E22FEA">
      <w:r w:rsidRPr="00EF544B">
        <w:t> 2.ՈՒժը կորցրած ճանաչել Մասիս քաղաքային համայնքի ավագանու 2017 թվականի հոկտեմբերի 10-ի ,,Արարատի մարզի Մասիս քաղաքային համայնքի ,,Մասիսի մշակույթի կենտրոն,, փակ բաժնետիրական ընկերության հաստիքացուցակը, պաշտոնային դրույքաչափերը և աշխատողների քանակը հաստատելու մասին,, N86-Ա որոշումը:</w:t>
      </w:r>
    </w:p>
    <w:p w:rsidR="00E22FEA" w:rsidRPr="00EF544B" w:rsidRDefault="00E22FEA" w:rsidP="00E22FEA">
      <w:r w:rsidRPr="00EF544B">
        <w:t>  </w:t>
      </w:r>
    </w:p>
    <w:p w:rsidR="00E22FEA" w:rsidRPr="00EF544B" w:rsidRDefault="00E22FEA" w:rsidP="00E22FEA">
      <w:r w:rsidRPr="00EF544B"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07"/>
        <w:gridCol w:w="1212"/>
      </w:tblGrid>
      <w:tr w:rsidR="00E22FEA" w:rsidRPr="00EF544B" w:rsidTr="00E22F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2FEA" w:rsidRPr="00EF544B" w:rsidRDefault="00E22FEA" w:rsidP="00EF544B">
            <w:r w:rsidRPr="00EF544B">
              <w:t>Կողմ-8</w:t>
            </w:r>
          </w:p>
        </w:tc>
        <w:tc>
          <w:tcPr>
            <w:tcW w:w="0" w:type="auto"/>
            <w:vAlign w:val="center"/>
            <w:hideMark/>
          </w:tcPr>
          <w:p w:rsidR="00E22FEA" w:rsidRPr="00EF544B" w:rsidRDefault="00E22FEA" w:rsidP="00EF544B">
            <w:r w:rsidRPr="00EF544B">
              <w:t>Դեմ-0</w:t>
            </w:r>
          </w:p>
        </w:tc>
        <w:tc>
          <w:tcPr>
            <w:tcW w:w="0" w:type="auto"/>
            <w:vAlign w:val="center"/>
            <w:hideMark/>
          </w:tcPr>
          <w:p w:rsidR="00E22FEA" w:rsidRPr="00EF544B" w:rsidRDefault="00E22FEA" w:rsidP="00EF544B">
            <w:r w:rsidRPr="00EF544B">
              <w:t>Ձեռնպահ-0</w:t>
            </w:r>
          </w:p>
        </w:tc>
      </w:tr>
    </w:tbl>
    <w:p w:rsidR="00E22FEA" w:rsidRPr="00EF544B" w:rsidRDefault="00E22FEA" w:rsidP="00E22FEA">
      <w:r w:rsidRPr="00EF544B">
        <w:t>Որոշումն ընդունված է. /կցվում է որոշում N 89-Ա/</w:t>
      </w:r>
    </w:p>
    <w:p w:rsidR="00E22FEA" w:rsidRPr="00EF544B" w:rsidRDefault="00E22FEA" w:rsidP="00E22FEA">
      <w:r w:rsidRPr="00EF544B"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714"/>
      </w:tblGrid>
      <w:tr w:rsidR="00E22FEA" w:rsidRPr="00EF544B" w:rsidTr="00E22FEA">
        <w:trPr>
          <w:tblCellSpacing w:w="0" w:type="dxa"/>
        </w:trPr>
        <w:tc>
          <w:tcPr>
            <w:tcW w:w="450" w:type="dxa"/>
            <w:vAlign w:val="center"/>
            <w:hideMark/>
          </w:tcPr>
          <w:p w:rsidR="00E22FEA" w:rsidRPr="00EF544B" w:rsidRDefault="00E22FEA" w:rsidP="00EF544B">
            <w:r w:rsidRPr="00EF544B">
              <w:t> </w:t>
            </w:r>
          </w:p>
        </w:tc>
        <w:tc>
          <w:tcPr>
            <w:tcW w:w="0" w:type="auto"/>
            <w:vAlign w:val="center"/>
            <w:hideMark/>
          </w:tcPr>
          <w:p w:rsidR="00E22FEA" w:rsidRPr="00EF544B" w:rsidRDefault="00E22FEA" w:rsidP="00EF544B">
            <w:r w:rsidRPr="00EF544B">
              <w:t> Ավագանու անդամներ</w:t>
            </w:r>
          </w:p>
        </w:tc>
      </w:tr>
      <w:tr w:rsidR="00E22FEA" w:rsidRPr="00EF544B" w:rsidTr="00E22FEA">
        <w:trPr>
          <w:tblCellSpacing w:w="0" w:type="dxa"/>
        </w:trPr>
        <w:tc>
          <w:tcPr>
            <w:tcW w:w="0" w:type="auto"/>
            <w:vAlign w:val="center"/>
            <w:hideMark/>
          </w:tcPr>
          <w:p w:rsidR="00E22FEA" w:rsidRPr="00EF544B" w:rsidRDefault="00E22FEA" w:rsidP="00EF544B">
            <w:r w:rsidRPr="00EF544B">
              <w:t> </w:t>
            </w:r>
          </w:p>
        </w:tc>
        <w:tc>
          <w:tcPr>
            <w:tcW w:w="0" w:type="auto"/>
            <w:vAlign w:val="center"/>
            <w:hideMark/>
          </w:tcPr>
          <w:p w:rsidR="00E22FEA" w:rsidRPr="00EF544B" w:rsidRDefault="00E22FEA" w:rsidP="00EF544B">
            <w:r w:rsidRPr="00EF544B">
              <w:t> </w:t>
            </w:r>
          </w:p>
        </w:tc>
      </w:tr>
    </w:tbl>
    <w:p w:rsidR="00E22FEA" w:rsidRPr="00EF544B" w:rsidRDefault="00E22FEA" w:rsidP="00E22FEA">
      <w:r w:rsidRPr="00EF544B">
        <w:br/>
        <w:t>Համայնքի ղեկավարի տեղակալ</w:t>
      </w:r>
      <w:r w:rsidRPr="00EF544B">
        <w:br/>
      </w:r>
      <w:r w:rsidRPr="00EF544B">
        <w:br/>
        <w:t>ՆՈՐԱՅՐ ՀԱԿՈԲՅԱՆ________________</w:t>
      </w:r>
    </w:p>
    <w:p w:rsidR="00E22FEA" w:rsidRPr="00EF544B" w:rsidRDefault="00E22FEA" w:rsidP="00E22FEA">
      <w:r w:rsidRPr="00EF544B">
        <w:t> </w:t>
      </w:r>
    </w:p>
    <w:p w:rsidR="00E22FEA" w:rsidRPr="00EF544B" w:rsidRDefault="00E22FEA" w:rsidP="00E22FEA">
      <w:r w:rsidRPr="00EF544B">
        <w:t> </w:t>
      </w:r>
    </w:p>
    <w:p w:rsidR="00E22FEA" w:rsidRPr="00EF544B" w:rsidRDefault="00E22FEA" w:rsidP="00E22FEA">
      <w:r w:rsidRPr="00EF544B">
        <w:t>Նիստն արձանագրեց`  Վարդան Գաբրիելյանը _________________________________</w:t>
      </w:r>
    </w:p>
    <w:p w:rsidR="004F34A5" w:rsidRDefault="00E22FEA">
      <w:bookmarkStart w:id="0" w:name="_GoBack"/>
      <w:bookmarkEnd w:id="0"/>
    </w:p>
    <w:sectPr w:rsidR="004F34A5" w:rsidSect="00E22FEA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EA"/>
    <w:rsid w:val="00782E19"/>
    <w:rsid w:val="00E22FEA"/>
    <w:rsid w:val="00E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7C254-A648-4FBB-8DE5-B0728D64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6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27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.1/Pages/DocFlow/?a=v&amp;g=c19df0b5-acd3-4183-ab2e-ae716d96410f" TargetMode="External"/><Relationship Id="rId13" Type="http://schemas.openxmlformats.org/officeDocument/2006/relationships/hyperlink" Target="http://192.168.1.1/Pages/DocFlow/?a=v&amp;g=743441d8-c64c-42ba-b864-40f75b510323" TargetMode="External"/><Relationship Id="rId18" Type="http://schemas.openxmlformats.org/officeDocument/2006/relationships/hyperlink" Target="http://masiscity.am/Pages/DocFlow/DFRedirect.aspx?id=459&amp;to=employe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192.168.1.1/Pages/DocFlow/?a=v&amp;g=785412eb-3050-4233-b949-2a88225ba954" TargetMode="External"/><Relationship Id="rId12" Type="http://schemas.openxmlformats.org/officeDocument/2006/relationships/hyperlink" Target="http://192.168.1.1/Pages/DocFlow/?a=v&amp;g=8a25d409-3d79-4361-bd95-1f235e4e1000" TargetMode="External"/><Relationship Id="rId17" Type="http://schemas.openxmlformats.org/officeDocument/2006/relationships/hyperlink" Target="http://masiscity.am/Pages/DocFlow/DFRedirect.aspx?id=463&amp;to=employe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asiscity.am/Pages/DocFlow/DFRedirect.aspx?id=463&amp;to=employee" TargetMode="External"/><Relationship Id="rId20" Type="http://schemas.openxmlformats.org/officeDocument/2006/relationships/hyperlink" Target="http://masiscity.am/Pages/DocFlow/DFRedirect.aspx?id=468&amp;to=employee" TargetMode="External"/><Relationship Id="rId1" Type="http://schemas.openxmlformats.org/officeDocument/2006/relationships/styles" Target="styles.xml"/><Relationship Id="rId6" Type="http://schemas.openxmlformats.org/officeDocument/2006/relationships/hyperlink" Target="http://masiscity.am/Pages/DocFlow/DFRedirect.aspx?id=483&amp;to=employee" TargetMode="External"/><Relationship Id="rId11" Type="http://schemas.openxmlformats.org/officeDocument/2006/relationships/hyperlink" Target="http://192.168.1.1/Pages/DocFlow/?a=v&amp;g=34d246a4-a757-44e3-9b47-753f7982117e" TargetMode="External"/><Relationship Id="rId5" Type="http://schemas.openxmlformats.org/officeDocument/2006/relationships/image" Target="media/image2.gif"/><Relationship Id="rId15" Type="http://schemas.openxmlformats.org/officeDocument/2006/relationships/hyperlink" Target="http://masiscity.am/Pages/DocFlow/DFRedirect.aspx?id=459&amp;to=employee" TargetMode="External"/><Relationship Id="rId10" Type="http://schemas.openxmlformats.org/officeDocument/2006/relationships/hyperlink" Target="http://192.168.1.1/Pages/DocFlow/?a=v&amp;g=5aa2c038-8776-4d5b-97e3-ac38b27f51ff" TargetMode="External"/><Relationship Id="rId19" Type="http://schemas.openxmlformats.org/officeDocument/2006/relationships/hyperlink" Target="http://masiscity.am/Pages/DocFlow/DFRedirect.aspx?id=459&amp;to=employee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192.168.1.1/Pages/DocFlow/?a=v&amp;g=3a03ac64-dd27-4e6e-9d65-e924474e8334" TargetMode="External"/><Relationship Id="rId14" Type="http://schemas.openxmlformats.org/officeDocument/2006/relationships/hyperlink" Target="http://masiscity.am/Pages/DocFlow/DFRedirect.aspx?id=459&amp;to=employe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4760</Words>
  <Characters>27137</Characters>
  <Application>Microsoft Office Word</Application>
  <DocSecurity>0</DocSecurity>
  <Lines>226</Lines>
  <Paragraphs>63</Paragraphs>
  <ScaleCrop>false</ScaleCrop>
  <Company/>
  <LinksUpToDate>false</LinksUpToDate>
  <CharactersWithSpaces>31834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2020-02-04T11:47:00Z</dcterms:created>
  <dcterms:modified xsi:type="dcterms:W3CDTF">2020-02-04T11:47:00Z</dcterms:modified>
</cp:coreProperties>
</file>